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145"/>
        <w:gridCol w:w="3270"/>
        <w:gridCol w:w="3375"/>
        <w:tblGridChange w:id="0">
          <w:tblGrid>
            <w:gridCol w:w="570"/>
            <w:gridCol w:w="2145"/>
            <w:gridCol w:w="3270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Geometric Brownian 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Time 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Discrete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Continuous time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St=St−1+ϵt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dSt=μStdt+σStdWt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May or may not include drift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Includes drift (μ)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Nature of 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Additive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Multiplicative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Distribution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Normal changes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Lognormal prices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Price Positivity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Can become 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Always positive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More advanced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Volatility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Implicit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Explicit σ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Basic stock movement theory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Option pricing &amp; derivatives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Basic approximation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More realistic financial model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13092C-2398-417D-889C-D3689F20F70B}"/>
</file>

<file path=customXml/itemProps2.xml><?xml version="1.0" encoding="utf-8"?>
<ds:datastoreItem xmlns:ds="http://schemas.openxmlformats.org/officeDocument/2006/customXml" ds:itemID="{231C9C91-A7FF-4DB5-88A6-23C3CDA2C789}"/>
</file>

<file path=customXml/itemProps3.xml><?xml version="1.0" encoding="utf-8"?>
<ds:datastoreItem xmlns:ds="http://schemas.openxmlformats.org/officeDocument/2006/customXml" ds:itemID="{DF8C2F7D-2122-40AB-82E8-D06065778DB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