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  <w:sz w:val="38"/>
          <w:szCs w:val="38"/>
        </w:rPr>
      </w:pPr>
      <w:bookmarkStart w:colFirst="0" w:colLast="0" w:name="_dthdfrmvtt7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38"/>
          <w:szCs w:val="38"/>
          <w:rtl w:val="0"/>
        </w:rPr>
        <w:t xml:space="preserve">SEBI Regulations Related to Portfolio Operations</w:t>
      </w:r>
    </w:p>
    <w:p w:rsidR="00000000" w:rsidDel="00000000" w:rsidP="00000000" w:rsidRDefault="00000000" w:rsidRPr="00000000" w14:paraId="0000000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both"/>
        <w:rPr>
          <w:rFonts w:ascii="Times New Roman" w:cs="Times New Roman" w:eastAsia="Times New Roman" w:hAnsi="Times New Roman"/>
          <w:color w:val="2324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The Securities and Exchange Board of India (SEBI) regulates portfolio operations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SEBI (Portfolio Managers) Regulations, 2020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, which replaced the earlier 1993 regulations. These comprehensive regulations ensure investor protection, transparency, and proper oversight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Portfolio Management Services (PMS)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 in India.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</w:rPr>
      </w:pPr>
      <w:bookmarkStart w:colFirst="0" w:colLast="0" w:name="_52d0duv0xqu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Key Regulatory Framework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</w:rPr>
      </w:pPr>
      <w:bookmarkStart w:colFirst="0" w:colLast="0" w:name="_sb7vq9r6r77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rtl w:val="0"/>
        </w:rPr>
        <w:t xml:space="preserve">1. Registration Requirements</w:t>
      </w:r>
    </w:p>
    <w:p w:rsidR="00000000" w:rsidDel="00000000" w:rsidP="00000000" w:rsidRDefault="00000000" w:rsidRPr="00000000" w14:paraId="0000000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both"/>
        <w:rPr>
          <w:rFonts w:ascii="Times New Roman" w:cs="Times New Roman" w:eastAsia="Times New Roman" w:hAnsi="Times New Roman"/>
          <w:color w:val="2324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All portfolio managers must register with SEBI before offering services. The key eligibility criteria include: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Entity Structure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Must be a company (public/private limited) or a Limited Liability Partnership (LLP)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Net Worth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Minimum net worth of ₹5 crore, certified by a chartered accountant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Fit and Proper Criteria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Must meet SEBI's fit-and-proper standards with no adverse regulatory records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Infrastructure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Adequate office space, IT infrastructure, and manpower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Key Personnel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Principal Officer with relevant qualifications (MBA in Finance, CA, CFA) 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Compliance Officer to ensure regulatory adherence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Staff members with at least 2 years of securities market experience</w:t>
      </w:r>
    </w:p>
    <w:p w:rsidR="00000000" w:rsidDel="00000000" w:rsidP="00000000" w:rsidRDefault="00000000" w:rsidRPr="00000000" w14:paraId="0000001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Registration Process: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Application fee: ₹1 lakh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Initial registration fee: ₹10 lakh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Certificate validity: 3 years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Renewal fee: ₹5 lakh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</w:rPr>
      </w:pPr>
      <w:bookmarkStart w:colFirst="0" w:colLast="0" w:name="_b0dptua5vk0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rtl w:val="0"/>
        </w:rPr>
        <w:t xml:space="preserve">2. Types of Portfolio Management Services(PMS) Permitted</w:t>
      </w:r>
    </w:p>
    <w:p w:rsidR="00000000" w:rsidDel="00000000" w:rsidP="00000000" w:rsidRDefault="00000000" w:rsidRPr="00000000" w14:paraId="0000001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both"/>
        <w:rPr>
          <w:rFonts w:ascii="Times New Roman" w:cs="Times New Roman" w:eastAsia="Times New Roman" w:hAnsi="Times New Roman"/>
          <w:color w:val="2324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SEBI recognizes three main categories: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Discretionary PMS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Portfolio managers have complete authority to make investment decisions on behalf of clients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Non-Discretionary PMS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Managers recommend investments, but clients must approve every transaction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Advisory PMS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Managers only provide advice; clients execute trades themselves</w:t>
      </w:r>
    </w:p>
    <w:p w:rsidR="00000000" w:rsidDel="00000000" w:rsidP="00000000" w:rsidRDefault="00000000" w:rsidRPr="00000000" w14:paraId="0000001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Asset Class-Based Classification: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Equity-based PMS (listed/unlisted shares)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Fixed Income/Debt PMS (government securities, bonds)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Hybrid PMS (combination of equity and debt)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Multi-asset PMS (equity, debt, 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Real Estate Investment Trusts(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REITs))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Mutual Fund PMS (selected mutual funds portfolio)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</w:rPr>
      </w:pPr>
      <w:bookmarkStart w:colFirst="0" w:colLast="0" w:name="_63qaq9618pr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rtl w:val="0"/>
        </w:rPr>
        <w:t xml:space="preserve">3. Minimum Investment and Client Eligibility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Minimum Investment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₹50 lakhs per client (ensuring access to financially mature investors)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Eligible Investors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High Net Worth Individuals (HNIs), Non-Resident Indians (NRIs), corporates, trusts, and partnerships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Maintenance Requirement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Clients must maintain the minimum value even after partial withdrawals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</w:rPr>
      </w:pPr>
      <w:bookmarkStart w:colFirst="0" w:colLast="0" w:name="_n5oymwkvjx2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rtl w:val="0"/>
        </w:rPr>
        <w:t xml:space="preserve">4. Investment Restrictions and Permitted Instruments</w:t>
      </w:r>
    </w:p>
    <w:p w:rsidR="00000000" w:rsidDel="00000000" w:rsidP="00000000" w:rsidRDefault="00000000" w:rsidRPr="00000000" w14:paraId="0000002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Permitted Instruments: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Listed securities on recognized stock exchanges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Money market instruments (treasury bills, commercial paper, certificates of deposit)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Mutual fund units (direct plans only)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Derivatives (futures and options for hedging)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Fixed/term deposits with scheduled commercial banks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Real Estate Investment Trusts(REITs) and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232425"/>
            <w:sz w:val="28"/>
            <w:szCs w:val="28"/>
            <w:rtl w:val="0"/>
          </w:rPr>
          <w:t xml:space="preserve">Infrastructure Investment Trusts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InvITs)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Structured products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</w:rPr>
      </w:pPr>
      <w:bookmarkStart w:colFirst="0" w:colLast="0" w:name="_41txhql0o74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rtl w:val="0"/>
        </w:rPr>
        <w:t xml:space="preserve">5. Disclosure and Transparency Requirements</w:t>
      </w:r>
    </w:p>
    <w:p w:rsidR="00000000" w:rsidDel="00000000" w:rsidP="00000000" w:rsidRDefault="00000000" w:rsidRPr="00000000" w14:paraId="0000002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both"/>
        <w:rPr>
          <w:rFonts w:ascii="Times New Roman" w:cs="Times New Roman" w:eastAsia="Times New Roman" w:hAnsi="Times New Roman"/>
          <w:color w:val="2324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Disclosure Document (DD)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 must be provided before agreement, containing: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Static Information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Portfolio manager details, business activities, audited financials, risks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Dynamic Information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Fee structure, investment strategy, performance track record, grievance redressal mechanism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Investment Policy Statement (IPS)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Risk profile, reporting requirements, fees, specific mandates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Related Party Transactions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Complete disclosure of dealings with associates</w:t>
      </w:r>
    </w:p>
    <w:p w:rsidR="00000000" w:rsidDel="00000000" w:rsidP="00000000" w:rsidRDefault="00000000" w:rsidRPr="00000000" w14:paraId="0000003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Reporting Requirements: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Regular detailed reports to clients (typically quarterly)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Portfolio performance, fees, and risk disclosures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</w:rPr>
      </w:pPr>
      <w:bookmarkStart w:colFirst="0" w:colLast="0" w:name="_krxsqpc3v77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rtl w:val="0"/>
        </w:rPr>
        <w:t xml:space="preserve">6. Fee Structure and Transparency</w:t>
      </w:r>
    </w:p>
    <w:p w:rsidR="00000000" w:rsidDel="00000000" w:rsidP="00000000" w:rsidRDefault="00000000" w:rsidRPr="00000000" w14:paraId="0000003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both"/>
        <w:rPr>
          <w:rFonts w:ascii="Times New Roman" w:cs="Times New Roman" w:eastAsia="Times New Roman" w:hAnsi="Times New Roman"/>
          <w:color w:val="2324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PMS fees typically include: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Management Fee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1-3% annually (percentage of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232425"/>
            <w:sz w:val="28"/>
            <w:szCs w:val="28"/>
            <w:rtl w:val="0"/>
          </w:rPr>
          <w:t xml:space="preserve">Assets Under Management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AUM)), charged quarterly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Performance Fee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10-20% of profits above the hurdle rate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High-Water Mark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Ensures performance fees only on new profits, not recovered losses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Entry/Exit Loads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1-3% for early investment or withdrawal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Additional Costs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Custodian, brokerage, operational, and audit expenses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GST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18% applicable on management fees</w:t>
      </w:r>
    </w:p>
    <w:p w:rsidR="00000000" w:rsidDel="00000000" w:rsidP="00000000" w:rsidRDefault="00000000" w:rsidRPr="00000000" w14:paraId="0000003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both"/>
        <w:rPr>
          <w:rFonts w:ascii="Times New Roman" w:cs="Times New Roman" w:eastAsia="Times New Roman" w:hAnsi="Times New Roman"/>
          <w:color w:val="2324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All fee ranges must be clearly outlined in the disclosure document.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</w:rPr>
      </w:pPr>
      <w:bookmarkStart w:colFirst="0" w:colLast="0" w:name="_z1gwbvgmv2d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rtl w:val="0"/>
        </w:rPr>
        <w:t xml:space="preserve">7. Segregation of Assets and Custody Norms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Independent Custodian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Mandatory for holding client securities and funds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Separate Accounts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Each investor must have a separate account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Direct Ownership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Investors directly own securities (unlike mutual funds)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Prohibition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PMS cannot hold client securities in their own name or use client funds for personal purposes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Demat Account Management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Custodian supervises all transactions with full transparency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Asset Return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Legal obligation to return assets if PMS ceases operations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</w:rPr>
      </w:pPr>
      <w:bookmarkStart w:colFirst="0" w:colLast="0" w:name="_s65aj02ynhb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rtl w:val="0"/>
        </w:rPr>
        <w:t xml:space="preserve">8. Investor Protection Measures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Mandatory SEBI registration and compliance with 2020 regulations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Third-party independent custodian prevents fund misuse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Designated compliance officer for regulatory adherence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Detailed performance reports on fees, risks, and returns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Clear investment policy statements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Direct securities ownership by investors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SEBI grievance redressal mechanism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</w:rPr>
      </w:pPr>
      <w:bookmarkStart w:colFirst="0" w:colLast="0" w:name="_8fqmqx479sh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rtl w:val="0"/>
        </w:rPr>
        <w:t xml:space="preserve">9. Compliance, Audits, and Monitoring</w:t>
      </w:r>
    </w:p>
    <w:p w:rsidR="00000000" w:rsidDel="00000000" w:rsidP="00000000" w:rsidRDefault="00000000" w:rsidRPr="00000000" w14:paraId="0000005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Operational Compliance: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Stringent KYC and risk profiling during client onboarding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Clear disclosure of risks, fees, and strategies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No guarantee of returns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Full asset segregation without pooling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Monthly/quarterly performance disclosures</w:t>
      </w:r>
    </w:p>
    <w:p w:rsidR="00000000" w:rsidDel="00000000" w:rsidP="00000000" w:rsidRDefault="00000000" w:rsidRPr="00000000" w14:paraId="0000005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Audit Requirements: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Annual Audits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Mandatory for financials, operations, and compliance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Internal Audits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Regular checks for process and compliance gaps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Performance Audits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Fair reporting verification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Cyber Audits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Data security and integrity checks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SEBI Inspections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Periodic regulatory reviews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32425"/>
        </w:rPr>
      </w:pPr>
      <w:bookmarkStart w:colFirst="0" w:colLast="0" w:name="_tet4t8urk7r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rtl w:val="0"/>
        </w:rPr>
        <w:t xml:space="preserve">10. Recent Regulatory Updates (2025-2026)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Distributor Registration (January 2025)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Portfolio managers must ensure distributors are registered with the Association of Portfolio Managers in India (APMI)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Streamlined Business Transfers (October 2025)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New framework requires joint applications with clear timelines (2 months from approval); transferee assumes liabilities while transferor ceases new client onboarding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425"/>
          <w:sz w:val="28"/>
          <w:szCs w:val="28"/>
          <w:rtl w:val="0"/>
        </w:rPr>
        <w:t xml:space="preserve">Disclosure Framework Simplification (June 2025)</w:t>
      </w:r>
      <w:r w:rsidDel="00000000" w:rsidR="00000000" w:rsidRPr="00000000">
        <w:rPr>
          <w:rFonts w:ascii="Times New Roman" w:cs="Times New Roman" w:eastAsia="Times New Roman" w:hAnsi="Times New Roman"/>
          <w:color w:val="232425"/>
          <w:sz w:val="28"/>
          <w:szCs w:val="28"/>
          <w:rtl w:val="0"/>
        </w:rPr>
        <w:t xml:space="preserve">: SEBI approved amendments to simplify disclosure documents for portfolio managers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hyperlink" Target="https://www.google.com/search?sca_esv=02d96f4dae5a5963&amp;sxsrf=ANbL-n4XBkrUBtpLQFPNOexvpqa2X4Dq6Q%3A1769677854727&amp;q=Assets+Under+Management&amp;sa=X&amp;ved=2ahUKEwimmZffs7CSAxUljK8BHbTtF28QxccNegQIEBAB&amp;mstk=AUtExfDJkZ0VMxTQXs-q2_YAFJTDGLhpXgb-CKOZh10bMdq9y2KXI9rJWOPVFmJAOwJTm5j-B8Khg90rvQHHThb4yMcJfLpO5JLpIQkYG5oW8QYlXNcQEB67qy0xLxub7rEYXPaBcewolxp0k-32Uvy1m5yj5G_TwpY1uhEv18YEvoqrKYemLY_MCTfzUg3NQRIeJJEW8mtGErd0l-zpcTWg6IKJrOEA3VrpPLL-PG9bxsaW10u-0IJUzZIBGbSGeGzvpqMKomvMSrhlEwbIS1bEfb_4&amp;csui=3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www.google.com/search?q=Infrastructure+Investment+Trusts+%28InvITs%29&amp;sca_esv=02d96f4dae5a5963&amp;sxsrf=ANbL-n4SV3mmpEveZBI23hLcynJ-BUMH4A%3A1769677654974&amp;ei=ViN7abmYO4eYvr0PnPON8QQ&amp;ved=2ahUKEwjz8b-es7CSAxXrZvUHHVBTJUsQgK4QegYIAQgAEAU&amp;uact=5&amp;oq=InvITs&amp;gs_lp=Egxnd3Mtd2l6LXNlcnAiBkludklUczINEAAYgAQYsQMYQxiKBTIKEAAYgAQYFBiHAjIFEAAYgAQyChAAGIAEGBQYhwIyChAAGIAEGEMYigUyBRAAGIAEMgUQABiABDIFEAAYgAQyBRAAGIAEMgUQABiABEi-F1CPEViPEXACeAGQAQCYAYIBoAGCAaoBAzAuMbgBA8gBAPgBAfgBApgCA6AClwGoAhTCAgoQABiwAxjWBBhHwgINEAAYgAQYsAMYQxiKBcICExAuGIAEGNEDGMcBGCcYigUY6gLCAg0QIxiABBgnGIoFGOoCwgIWECMYgAQYoAYYJxiKBRjqAhirBhjdBcICBxAjGCcY6gLCAhYQABiABBhDGLQCGOcGGIoFGOoC2AEBmAMK8QWDfp1YQj8XhYgGAZAGCroGBggBEAEYAZIHAzIuMaAH8ASyBwMwLjG4B4gBwgcFMi0yLjHIBxGACAA&amp;sclient=gws-wiz-serp" TargetMode="Externa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0" ma:contentTypeDescription="Create a new document." ma:contentTypeScope="" ma:versionID="c5a1d71226dd2b42b2ba3b6e341ca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DB0BB2-8147-4957-A66A-D889C0DAD355}"/>
</file>

<file path=customXml/itemProps2.xml><?xml version="1.0" encoding="utf-8"?>
<ds:datastoreItem xmlns:ds="http://schemas.openxmlformats.org/officeDocument/2006/customXml" ds:itemID="{ED97DFB2-0B0F-4FA8-8F47-07E38D7FB60C}"/>
</file>

<file path=customXml/itemProps3.xml><?xml version="1.0" encoding="utf-8"?>
<ds:datastoreItem xmlns:ds="http://schemas.openxmlformats.org/officeDocument/2006/customXml" ds:itemID="{26C48C9C-C9D4-489D-A285-F7B4DC6A3BB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