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0" w:line="384.00000000000006" w:lineRule="auto"/>
        <w:jc w:val="both"/>
        <w:rPr>
          <w:rFonts w:ascii="Times New Roman" w:cs="Times New Roman" w:eastAsia="Times New Roman" w:hAnsi="Times New Roman"/>
          <w:b w:val="1"/>
          <w:bCs w:val="1"/>
          <w:color w:val="000000"/>
        </w:rPr>
      </w:pPr>
      <w:bookmarkStart w:colFirst="0" w:colLast="0" w:name="_fvqdzbelgwk9" w:id="0"/>
      <w:bookmarkEnd w:id="0"/>
      <w:r w:rsidDel="00000000" w:rsidR="00000000" w:rsidRPr="00000000">
        <w:rPr>
          <w:rFonts w:ascii="Times New Roman" w:cs="Times New Roman" w:eastAsia="Times New Roman" w:hAnsi="Times New Roman"/>
          <w:b w:val="1"/>
          <w:bCs w:val="1"/>
          <w:color w:val="000000"/>
          <w:rtl w:val="0"/>
        </w:rPr>
        <w:t xml:space="preserve">Meaning of Portfolio Analysis</w:t>
      </w:r>
    </w:p>
    <w:p w:rsidR="00000000" w:rsidDel="00000000" w:rsidP="00000000" w:rsidRDefault="00000000" w:rsidRPr="00000000" w14:paraId="00000005">
      <w:pPr>
        <w:pBdr>
          <w:top w:color="e4e4e7" w:space="0" w:sz="0" w:val="none"/>
          <w:left w:color="e4e4e7" w:space="0" w:sz="0" w:val="none"/>
          <w:bottom w:color="e4e4e7" w:space="0" w:sz="0" w:val="none"/>
          <w:right w:color="e4e4e7" w:space="0" w:sz="0" w:val="none"/>
          <w:between w:color="e4e4e7" w:space="0" w:sz="0" w:val="none"/>
        </w:pBdr>
        <w:spacing w:after="240" w:line="39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Portfolio analysis is a </w:t>
      </w:r>
      <w:r w:rsidDel="00000000" w:rsidR="00000000" w:rsidRPr="00000000">
        <w:rPr>
          <w:rFonts w:ascii="Times New Roman" w:cs="Times New Roman" w:eastAsia="Times New Roman" w:hAnsi="Times New Roman"/>
          <w:b w:val="1"/>
          <w:bCs w:val="1"/>
          <w:sz w:val="28"/>
          <w:szCs w:val="28"/>
          <w:highlight w:val="white"/>
          <w:rtl w:val="0"/>
        </w:rPr>
        <w:t xml:space="preserve">systematic process</w:t>
      </w:r>
      <w:r w:rsidDel="00000000" w:rsidR="00000000" w:rsidRPr="00000000">
        <w:rPr>
          <w:rFonts w:ascii="Times New Roman" w:cs="Times New Roman" w:eastAsia="Times New Roman" w:hAnsi="Times New Roman"/>
          <w:sz w:val="28"/>
          <w:szCs w:val="28"/>
          <w:highlight w:val="white"/>
          <w:rtl w:val="0"/>
        </w:rPr>
        <w:t xml:space="preserve"> in finance and investment management that involves </w:t>
      </w:r>
      <w:r w:rsidDel="00000000" w:rsidR="00000000" w:rsidRPr="00000000">
        <w:rPr>
          <w:rFonts w:ascii="Times New Roman" w:cs="Times New Roman" w:eastAsia="Times New Roman" w:hAnsi="Times New Roman"/>
          <w:b w:val="1"/>
          <w:bCs w:val="1"/>
          <w:sz w:val="28"/>
          <w:szCs w:val="28"/>
          <w:highlight w:val="white"/>
          <w:rtl w:val="0"/>
        </w:rPr>
        <w:t xml:space="preserve">evaluating, assessing, and optimizing</w:t>
      </w:r>
      <w:r w:rsidDel="00000000" w:rsidR="00000000" w:rsidRPr="00000000">
        <w:rPr>
          <w:rFonts w:ascii="Times New Roman" w:cs="Times New Roman" w:eastAsia="Times New Roman" w:hAnsi="Times New Roman"/>
          <w:sz w:val="28"/>
          <w:szCs w:val="28"/>
          <w:highlight w:val="white"/>
          <w:rtl w:val="0"/>
        </w:rPr>
        <w:t xml:space="preserve"> a collection of financial assets (such as stocks, bonds, real estate, or mutual funds) held by an individual, institution, or fund. The </w:t>
      </w:r>
      <w:r w:rsidDel="00000000" w:rsidR="00000000" w:rsidRPr="00000000">
        <w:rPr>
          <w:rFonts w:ascii="Times New Roman" w:cs="Times New Roman" w:eastAsia="Times New Roman" w:hAnsi="Times New Roman"/>
          <w:b w:val="1"/>
          <w:bCs w:val="1"/>
          <w:sz w:val="28"/>
          <w:szCs w:val="28"/>
          <w:highlight w:val="white"/>
          <w:rtl w:val="0"/>
        </w:rPr>
        <w:t xml:space="preserve">primary goal is to balance risk and return</w:t>
      </w:r>
      <w:r w:rsidDel="00000000" w:rsidR="00000000" w:rsidRPr="00000000">
        <w:rPr>
          <w:rFonts w:ascii="Times New Roman" w:cs="Times New Roman" w:eastAsia="Times New Roman" w:hAnsi="Times New Roman"/>
          <w:sz w:val="28"/>
          <w:szCs w:val="28"/>
          <w:highlight w:val="white"/>
          <w:rtl w:val="0"/>
        </w:rPr>
        <w:t xml:space="preserve">, ensuring the portfolio aligns with the investor's objectives, risk tolerance, and time horizon. It draws from modern portfolio theory (MPT), pioneered by Harry Markowitz in the 1950s, which emphasizes diversification to minimize risk without sacrificing potential returns. This analysis helps investors make informed decisions, rebalance holdings, and adapt to market changes, ultimately aiming for efficient portfolios that maximize expected returns for a given level of risk.</w:t>
      </w:r>
    </w:p>
    <w:p w:rsidR="00000000" w:rsidDel="00000000" w:rsidP="00000000" w:rsidRDefault="00000000" w:rsidRPr="00000000" w14:paraId="00000006">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520" w:line="384.00000000000006" w:lineRule="auto"/>
        <w:jc w:val="both"/>
        <w:rPr>
          <w:rFonts w:ascii="Times New Roman" w:cs="Times New Roman" w:eastAsia="Times New Roman" w:hAnsi="Times New Roman"/>
          <w:b w:val="1"/>
          <w:bCs w:val="1"/>
          <w:color w:val="000000"/>
        </w:rPr>
      </w:pPr>
      <w:bookmarkStart w:colFirst="0" w:colLast="0" w:name="_mgd3l3rnyh2z" w:id="1"/>
      <w:bookmarkEnd w:id="1"/>
      <w:r w:rsidDel="00000000" w:rsidR="00000000" w:rsidRPr="00000000">
        <w:rPr>
          <w:rFonts w:ascii="Times New Roman" w:cs="Times New Roman" w:eastAsia="Times New Roman" w:hAnsi="Times New Roman"/>
          <w:b w:val="1"/>
          <w:bCs w:val="1"/>
          <w:color w:val="000000"/>
          <w:rtl w:val="0"/>
        </w:rPr>
        <w:t xml:space="preserve">Key Components of Portfolio Analysis</w:t>
      </w:r>
    </w:p>
    <w:p w:rsidR="00000000" w:rsidDel="00000000" w:rsidP="00000000" w:rsidRDefault="00000000" w:rsidRPr="00000000" w14:paraId="00000007">
      <w:pPr>
        <w:pBdr>
          <w:top w:color="e4e4e7" w:space="0" w:sz="0" w:val="none"/>
          <w:left w:color="e4e4e7" w:space="0" w:sz="0" w:val="none"/>
          <w:bottom w:color="e4e4e7" w:space="0" w:sz="0" w:val="none"/>
          <w:right w:color="e4e4e7" w:space="0" w:sz="0" w:val="none"/>
          <w:between w:color="e4e4e7" w:space="0" w:sz="0" w:val="none"/>
        </w:pBdr>
        <w:spacing w:after="240" w:line="39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Portfolio analysis breaks down into several interconnected components, each focusing on different aspects of evaluation and management. Here's a breakdown of the main ones:</w:t>
      </w:r>
    </w:p>
    <w:p w:rsidR="00000000" w:rsidDel="00000000" w:rsidP="00000000" w:rsidRDefault="00000000" w:rsidRPr="00000000" w14:paraId="00000008">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420" w:line="39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Asset Allocation</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This involves deciding how to distribute investments across various asset classes (e.g., equities, fixed income, cash, or alternatives like commodities). It considers factors like expected returns, correlations between assets, and the investor's risk profile. For example, a conservative investor might allocate 60% to bonds and 40% to stocks, while an aggressive one might favor equities.</w:t>
      </w:r>
    </w:p>
    <w:p w:rsidR="00000000" w:rsidDel="00000000" w:rsidP="00000000" w:rsidRDefault="00000000" w:rsidRPr="00000000" w14:paraId="00000009">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Risk Assessment</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Evaluating the portfolio's exposure to various risks, including market risk (volatility), credit risk, liquidity risk, and inflation risk. Tools like standard deviation measure potential losses. Diversification reduces unsystematic risk, as per MPT, by spreading investments across uncorrelated assets.</w:t>
      </w:r>
    </w:p>
    <w:p w:rsidR="00000000" w:rsidDel="00000000" w:rsidP="00000000" w:rsidRDefault="00000000" w:rsidRPr="00000000" w14:paraId="0000000A">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Performance Measurement</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Tracking how the portfolio performs against benchmarks (e.g., S&amp;P 500 for stocks) and goals. Metrics include total return (capital gains plus dividends), Sharpe ratio (risk-adjusted return), and alpha (excess return over a benchmark). This helps identify underperforming assets for rebalancing.</w:t>
      </w:r>
    </w:p>
    <w:p w:rsidR="00000000" w:rsidDel="00000000" w:rsidP="00000000" w:rsidRDefault="00000000" w:rsidRPr="00000000" w14:paraId="0000000B">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Diversification Analysis</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Ensuring the portfolio isn't overly concentrated in one area to mitigate risk. This includes analyzing correlations between holdings; for instance, combining tech stocks with bonds can stabilize returns during market downturns.</w:t>
      </w:r>
    </w:p>
    <w:p w:rsidR="00000000" w:rsidDel="00000000" w:rsidP="00000000" w:rsidRDefault="00000000" w:rsidRPr="00000000" w14:paraId="0000000C">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Benchmarking and Attribution</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Comparing the portfolio to relevant indices or peer groups to gauge relative performance. Attribution analysis dissects returns into components like asset allocation, security selection, and market timing, revealing what's driving success or failure.</w:t>
      </w:r>
    </w:p>
    <w:p w:rsidR="00000000" w:rsidDel="00000000" w:rsidP="00000000" w:rsidRDefault="00000000" w:rsidRPr="00000000" w14:paraId="0000000D">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Rebalancing and Optimization</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Periodically adjusting the portfolio to maintain the desired allocation, often triggered by market shifts or life changes. Optimization uses mathematical models (e.g., mean-variance optimization) to find the "efficient frontier" of portfolios that offer the best risk-return trade-off.</w:t>
      </w:r>
    </w:p>
    <w:p w:rsidR="00000000" w:rsidDel="00000000" w:rsidP="00000000" w:rsidRDefault="00000000" w:rsidRPr="00000000" w14:paraId="0000000E">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660" w:before="0" w:beforeAutospacing="0" w:line="39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Scenario Analysis and Stress Testing</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Simulating potential future outcomes under different economic conditions (e.g., recessions or interest rate hikes) to assess resilience. This component helps prepare for uncertainties, such as the 2008 financial crisis, where diversified portfolios fared better.</w:t>
      </w:r>
    </w:p>
    <w:p w:rsidR="00000000" w:rsidDel="00000000" w:rsidP="00000000" w:rsidRDefault="00000000" w:rsidRPr="00000000" w14:paraId="0000000F">
      <w:pPr>
        <w:pBdr>
          <w:top w:color="e4e4e7" w:space="0" w:sz="0" w:val="none"/>
          <w:left w:color="e4e4e7" w:space="0" w:sz="0" w:val="none"/>
          <w:bottom w:color="e4e4e7" w:space="0" w:sz="0" w:val="none"/>
          <w:right w:color="e4e4e7" w:space="0" w:sz="0" w:val="none"/>
          <w:between w:color="e4e4e7" w:space="0" w:sz="0" w:val="none"/>
        </w:pBdr>
        <w:spacing w:after="240" w:line="39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 practice, tools like Excel, Bloomberg, or specialized software (e.g., MATLAB for modeling) aid in these analyses. Investors often consult financial advisors or use robo-advisors for automated insights. Remember, portfolio analysis is dynamic and should be revisited regularly to adapt to evolving markets and personal circumstances. If you're analyzing a specific portfolio, consider consulting a professional for tailored advice.</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A58124FD35B4A987317CCECF8C17A" ma:contentTypeVersion="3" ma:contentTypeDescription="Create a new document." ma:contentTypeScope="" ma:versionID="a83455c4a432253b838d499c7e80fa16">
  <xsd:schema xmlns:xsd="http://www.w3.org/2001/XMLSchema" xmlns:xs="http://www.w3.org/2001/XMLSchema" xmlns:p="http://schemas.microsoft.com/office/2006/metadata/properties" xmlns:ns2="030fcfb0-e6dc-4437-a0ac-d89120bd4523" targetNamespace="http://schemas.microsoft.com/office/2006/metadata/properties" ma:root="true" ma:fieldsID="85fca229cd23af7f568041df30c18855" ns2:_="">
    <xsd:import namespace="030fcfb0-e6dc-4437-a0ac-d89120bd45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0fcfb0-e6dc-4437-a0ac-d89120bd4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E4F2C4-F07F-497C-A25E-49DCEA40CA58}"/>
</file>

<file path=customXml/itemProps2.xml><?xml version="1.0" encoding="utf-8"?>
<ds:datastoreItem xmlns:ds="http://schemas.openxmlformats.org/officeDocument/2006/customXml" ds:itemID="{66A694BC-2685-44B3-88B6-FC6C7ADBA2C9}"/>
</file>

<file path=customXml/itemProps3.xml><?xml version="1.0" encoding="utf-8"?>
<ds:datastoreItem xmlns:ds="http://schemas.openxmlformats.org/officeDocument/2006/customXml" ds:itemID="{B57885BC-349B-488E-ADE1-D9218EEB7D5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0x01010018CA58124FD35B4A987317CCECF8C17A</vt:lpwstr>
  </property>
</Properties>
</file>