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604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42"/>
        </w:rPr>
        <w:t>Command Scripting</w:t>
      </w:r>
      <w:r>
        <w:rPr>
          <w:rFonts w:ascii="OpenSymbol" w:hAnsi="OpenSymbol" w:eastAsia="OpenSymbol"/>
          <w:b w:val="0"/>
          <w:i w:val="0"/>
          <w:color w:val="297FB9"/>
          <w:sz w:val="21"/>
        </w:rPr>
        <w:t>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VyOS supports executing configuration and operational commands non-interactively from shell </w:t>
      </w:r>
    </w:p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scripts.</w:t>
      </w:r>
    </w:p>
    <w:p>
      <w:pPr>
        <w:autoSpaceDN w:val="0"/>
        <w:autoSpaceDE w:val="0"/>
        <w:widowControl/>
        <w:spacing w:line="266" w:lineRule="exact" w:before="454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To include VyOS specific functions and aliases you need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8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source /opt/vyatta/etc/functions/script-template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files at the top of your script.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5.99999999999994" w:type="dxa"/>
            </w:tblPr>
            <w:tblGrid>
              <w:gridCol w:w="8440"/>
            </w:tblGrid>
            <w:tr>
              <w:trPr>
                <w:trHeight w:hRule="exact" w:val="300"/>
              </w:trPr>
              <w:tc>
                <w:tcPr>
                  <w:tcW w:type="dxa" w:w="441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50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#!/bin/vbash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source /opt/vyatta/etc/functions/script-template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exit</w:t>
            </w:r>
          </w:p>
        </w:tc>
      </w:tr>
    </w:tbl>
    <w:p>
      <w:pPr>
        <w:autoSpaceDN w:val="0"/>
        <w:autoSpaceDE w:val="0"/>
        <w:widowControl/>
        <w:spacing w:line="570" w:lineRule="exact" w:before="0" w:after="0"/>
        <w:ind w:left="2" w:right="288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Run configuration commands</w:t>
      </w:r>
      <w:r>
        <w:rPr>
          <w:rFonts w:ascii="OpenSymbol" w:hAnsi="OpenSymbol" w:eastAsia="OpenSymbol"/>
          <w:b w:val="0"/>
          <w:i w:val="0"/>
          <w:color w:val="297FB9"/>
          <w:sz w:val="21"/>
        </w:rPr>
        <w:t>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Configuration commands are executed just like from a normal config session. For example, if </w:t>
      </w:r>
    </w:p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you want to disable a BGP peer on VRRP transition to backup: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4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75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#!/bin/vbash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source /opt/vyatta/etc/functions/script-template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configure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system-as 65536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neighbor 192.168.2.1 shutdown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commit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exit</w:t>
            </w:r>
          </w:p>
        </w:tc>
      </w:tr>
      <w:tr>
        <w:trPr>
          <w:trHeight w:hRule="exact" w:val="1188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36"/>
              </w:rPr>
              <w:t>Run operational commands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</w:rPr>
              <w:t>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Unlike a normal configuration session, all operational commands must be prepended with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run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,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692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39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even if you haven’t created a session with configure.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50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#!/bin/vbash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source /opt/vyatta/etc/functions/script-template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run show interfaces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exit</w:t>
            </w:r>
          </w:p>
        </w:tc>
      </w:tr>
    </w:tbl>
    <w:p>
      <w:pPr>
        <w:autoSpaceDN w:val="0"/>
        <w:autoSpaceDE w:val="0"/>
        <w:widowControl/>
        <w:spacing w:line="568" w:lineRule="exact" w:before="0" w:after="0"/>
        <w:ind w:left="2" w:right="288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Run commands remotely</w:t>
      </w:r>
      <w:r>
        <w:rPr>
          <w:rFonts w:ascii="OpenSymbol" w:hAnsi="OpenSymbol" w:eastAsia="OpenSymbol"/>
          <w:b w:val="0"/>
          <w:i w:val="0"/>
          <w:color w:val="297FB9"/>
          <w:sz w:val="21"/>
        </w:rPr>
        <w:t>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Sometimes you simply wan’t to execute a bunch of op-mode commands via SSH on a remote </w:t>
      </w:r>
    </w:p>
    <w:p>
      <w:pPr>
        <w:autoSpaceDN w:val="0"/>
        <w:autoSpaceDE w:val="0"/>
        <w:widowControl/>
        <w:spacing w:line="266" w:lineRule="exact" w:before="9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VyOS system.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05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50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ssh 192.0.2.1 'vbash -s' &lt;&lt;EOF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source /opt/vyatta/etc/functions/script-template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run show interfaces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exit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EOF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Will return:</w:t>
      </w:r>
    </w:p>
    <w:p>
      <w:pPr>
        <w:sectPr>
          <w:pgSz w:w="12240" w:h="15840"/>
          <w:pgMar w:top="720" w:right="1420" w:bottom="7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46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8" w:val="left"/>
              </w:tabs>
              <w:autoSpaceDE w:val="0"/>
              <w:widowControl/>
              <w:spacing w:line="210" w:lineRule="exact" w:before="0" w:after="0"/>
              <w:ind w:left="2" w:right="38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Welcome to VyOS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Codes: S - State, L - Link, u - Up, D - Down, A - Admin Down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Interface        IP Address                        S/L  Description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---------        ----------                        ---  -----------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eth0             192.0.2.1/24                      u/u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lo               127.0.0.1/8                       u/u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::1/128</w:t>
            </w:r>
          </w:p>
        </w:tc>
      </w:tr>
    </w:tbl>
    <w:p>
      <w:pPr>
        <w:autoSpaceDN w:val="0"/>
        <w:autoSpaceDE w:val="0"/>
        <w:widowControl/>
        <w:spacing w:line="418" w:lineRule="exact" w:before="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Other script languages</w:t>
      </w:r>
      <w:r>
        <w:rPr>
          <w:rFonts w:ascii="OpenSymbol" w:hAnsi="OpenSymbol" w:eastAsia="OpenSymbol"/>
          <w:b w:val="0"/>
          <w:i w:val="0"/>
          <w:color w:val="297FB9"/>
          <w:sz w:val="21"/>
        </w:rPr>
        <w:t></w:t>
      </w:r>
    </w:p>
    <w:p>
      <w:pPr>
        <w:autoSpaceDN w:val="0"/>
        <w:autoSpaceDE w:val="0"/>
        <w:widowControl/>
        <w:spacing w:line="360" w:lineRule="exact" w:before="362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you want to script the configs in a language other than bash you can have your script output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commands and then source them in a bash script.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Here is a simple 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8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448" w:firstLine="0"/>
              <w:jc w:val="left"/>
            </w:pPr>
            <w:r>
              <w:rPr>
                <w:rFonts w:ascii="DejaVu Sans" w:hAnsi="DejaVu Sans" w:eastAsia="DejaVu Sans"/>
                <w:b w:val="0"/>
                <w:i/>
                <w:color w:val="3F7F90"/>
                <w:sz w:val="18"/>
              </w:rPr>
              <w:t xml:space="preserve">#!/usr/bin/env python3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701F"/>
                <w:sz w:val="18"/>
              </w:rPr>
              <w:t>print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DejaVu Sans" w:hAnsi="DejaVu Sans" w:eastAsia="DejaVu Sans"/>
                <w:b w:val="0"/>
                <w:i w:val="0"/>
                <w:color w:val="3F70A0"/>
                <w:sz w:val="18"/>
              </w:rPr>
              <w:t>"delete firewall group address-group somehosts"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701F"/>
                <w:sz w:val="18"/>
              </w:rPr>
              <w:t>print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DejaVu Sans" w:hAnsi="DejaVu Sans" w:eastAsia="DejaVu Sans"/>
                <w:b w:val="0"/>
                <w:i w:val="0"/>
                <w:color w:val="3F70A0"/>
                <w:sz w:val="18"/>
              </w:rPr>
              <w:t>"set firewall group address-group somehosts address '192.0.2.3'"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) </w:t>
            </w:r>
            <w:r>
              <w:rPr>
                <w:rFonts w:ascii="DejaVu Sans" w:hAnsi="DejaVu Sans" w:eastAsia="DejaVu Sans"/>
                <w:b w:val="0"/>
                <w:i w:val="0"/>
                <w:color w:val="00701F"/>
                <w:sz w:val="18"/>
              </w:rPr>
              <w:t>print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DejaVu Sans" w:hAnsi="DejaVu Sans" w:eastAsia="DejaVu Sans"/>
                <w:b w:val="0"/>
                <w:i w:val="0"/>
                <w:color w:val="3F70A0"/>
                <w:sz w:val="18"/>
              </w:rPr>
              <w:t>"set firewall group address-group somehosts address '203.0.113.55'"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)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#!/bin/vbash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source /opt/vyatta/etc/functions/script-template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configure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source &lt; /config/scripts/setfirewallgroup.py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commit</w:t>
            </w:r>
          </w:p>
        </w:tc>
      </w:tr>
    </w:tbl>
    <w:p>
      <w:pPr>
        <w:autoSpaceDN w:val="0"/>
        <w:autoSpaceDE w:val="0"/>
        <w:widowControl/>
        <w:spacing w:line="418" w:lineRule="exact" w:before="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Executing Configuration Scripts</w:t>
      </w:r>
      <w:r>
        <w:rPr>
          <w:rFonts w:ascii="OpenSymbol" w:hAnsi="OpenSymbol" w:eastAsia="OpenSymbol"/>
          <w:b w:val="0"/>
          <w:i w:val="0"/>
          <w:color w:val="297FB9"/>
          <w:sz w:val="21"/>
        </w:rPr>
        <w:t></w:t>
      </w:r>
    </w:p>
    <w:p>
      <w:pPr>
        <w:autoSpaceDN w:val="0"/>
        <w:autoSpaceDE w:val="0"/>
        <w:widowControl/>
        <w:spacing w:line="360" w:lineRule="exact" w:before="36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There is a pitfall when working with configuration scripts. It is tempting to call configuration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scripts with “sudo” (i.e., temporary root permissions), because that’s the common way on most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Linux platforms to call system commands.</w:t>
      </w:r>
    </w:p>
    <w:p>
      <w:pPr>
        <w:autoSpaceDN w:val="0"/>
        <w:autoSpaceDE w:val="0"/>
        <w:widowControl/>
        <w:spacing w:line="360" w:lineRule="exact" w:before="36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On VyOS this will cause the following problem: After modifying the configuration via script like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once, it is not possible to manually modify the config anymore: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590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sudo ./myscript.sh # Modifies config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configure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... # Any configuration parameter</w:t>
            </w:r>
          </w:p>
        </w:tc>
      </w:tr>
      <w:tr>
        <w:trPr>
          <w:trHeight w:hRule="exact" w:val="408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This will result in the following error message: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failed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If this happens, a reboot is required to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580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94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332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be able to edit the config manually again.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08"/>
        </w:trPr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To avoid these problems, the proper way is to call a script with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vyattacfg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group, e.g., by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66.0" w:type="dxa"/>
            </w:tblPr>
            <w:tblGrid>
              <w:gridCol w:w="9140"/>
            </w:tblGrid>
            <w:tr>
              <w:trPr>
                <w:trHeight w:hRule="exact" w:val="320"/>
              </w:trPr>
              <w:tc>
                <w:tcPr>
                  <w:tcW w:type="dxa" w:w="94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using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sg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(switch group) command: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1.9999999999999" w:type="dxa"/>
            </w:tblPr>
            <w:tblGrid>
              <w:gridCol w:w="9140"/>
            </w:tblGrid>
            <w:tr>
              <w:trPr>
                <w:trHeight w:hRule="exact" w:val="300"/>
              </w:trPr>
              <w:tc>
                <w:tcPr>
                  <w:tcW w:type="dxa" w:w="30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sg vyattacfg -c ./myscript.sh</w:t>
            </w:r>
          </w:p>
        </w:tc>
      </w:tr>
      <w:tr>
        <w:trPr>
          <w:trHeight w:hRule="exact" w:val="406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To make sure that a script is not accidentally called without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vyattacfg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group, the script can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40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94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be safeguarded like this:</w:t>
      </w:r>
    </w:p>
    <w:p>
      <w:pPr>
        <w:sectPr>
          <w:pgSz w:w="12240" w:h="15840"/>
          <w:pgMar w:top="720" w:right="1420" w:bottom="7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6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</w:tabs>
              <w:autoSpaceDE w:val="0"/>
              <w:widowControl/>
              <w:spacing w:line="210" w:lineRule="exact" w:before="0" w:after="0"/>
              <w:ind w:left="2" w:right="41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if [ "$(id -g -n)" != 'vyattacfg' ] ; then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exec sg vyattacfg -c "/bin/vbash $(readlink -f $0) $@"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fi</w:t>
            </w:r>
          </w:p>
        </w:tc>
      </w:tr>
    </w:tbl>
    <w:p>
      <w:pPr>
        <w:autoSpaceDN w:val="0"/>
        <w:autoSpaceDE w:val="0"/>
        <w:widowControl/>
        <w:spacing w:line="418" w:lineRule="exact" w:before="0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Executing pre-hooks/post-hooks Scripts</w:t>
      </w:r>
      <w:r>
        <w:rPr>
          <w:rFonts w:ascii="OpenSymbol" w:hAnsi="OpenSymbol" w:eastAsia="OpenSymbol"/>
          <w:b w:val="0"/>
          <w:i w:val="0"/>
          <w:color w:val="297FB9"/>
          <w:sz w:val="21"/>
        </w:rPr>
        <w:t></w:t>
      </w:r>
    </w:p>
    <w:p>
      <w:pPr>
        <w:autoSpaceDN w:val="0"/>
        <w:autoSpaceDE w:val="0"/>
        <w:widowControl/>
        <w:spacing w:line="266" w:lineRule="exact" w:before="456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VyOS has the ability to run custom scripts before and after each commit</w:t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default directories where your custom Scripts should be located are: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68" w:val="left"/>
              </w:tabs>
              <w:autoSpaceDE w:val="0"/>
              <w:widowControl/>
              <w:spacing w:line="210" w:lineRule="exact" w:before="0" w:after="0"/>
              <w:ind w:left="2" w:right="244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/config/scripts/commit/pre-hooks.d   - Directory with scripts that run before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each commit.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528"/>
        </w:trPr>
        <w:tc>
          <w:tcPr>
            <w:tcW w:type="dxa" w:w="82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68" w:val="left"/>
              </w:tabs>
              <w:autoSpaceDE w:val="0"/>
              <w:widowControl/>
              <w:spacing w:line="210" w:lineRule="exact" w:before="60" w:after="0"/>
              <w:ind w:left="102" w:right="14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/config/scripts/commit/post-hooks.d  - Directory with scripts that run after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each commit.</w:t>
            </w:r>
          </w:p>
        </w:tc>
      </w:tr>
    </w:tbl>
    <w:p>
      <w:pPr>
        <w:autoSpaceDN w:val="0"/>
        <w:autoSpaceDE w:val="0"/>
        <w:widowControl/>
        <w:spacing w:line="344" w:lineRule="exact" w:before="0" w:after="358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Scripts are run in alphabetical order. Their names must consist entirely of ASCII upper- and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lower-case letters,ASCII digits, ASCII underscores, and ASCII minus-hyphens.No other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characters are allowed.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Custom scripts are not executed with root privileges (Use sudo inside if this is necessary).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 simple example is shown below, where the ops command executed in the post-hook script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“show interfaces”.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10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45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vyos@vyos# set interfaces ethernet eth1  address 192.0.2.3/24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vyos@vyos# commit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Codes: S - State, L - Link, u - Up, D - Down, A - Admin Down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Interface        IP Address                        S/L  Description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---------        ----------                        ---  -----------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eth0             198.51.100.10/24                  u/u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eth1             192.0.2.3/24                      u/u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eth2             -                                 u/u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eth3             -                                 u/u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lo               203.0.113.5/24                    u/u</w:t>
            </w:r>
          </w:p>
        </w:tc>
      </w:tr>
    </w:tbl>
    <w:p>
      <w:pPr>
        <w:autoSpaceDN w:val="0"/>
        <w:autoSpaceDE w:val="0"/>
        <w:widowControl/>
        <w:spacing w:line="418" w:lineRule="exact" w:before="0" w:after="332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Preconfig on boot</w:t>
      </w:r>
      <w:r>
        <w:rPr>
          <w:rFonts w:ascii="OpenSymbol" w:hAnsi="OpenSymbol" w:eastAsia="OpenSymbol"/>
          <w:b w:val="0"/>
          <w:i w:val="0"/>
          <w:color w:val="297FB9"/>
          <w:sz w:val="21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34"/>
        </w:trPr>
        <w:tc>
          <w:tcPr>
            <w:tcW w:type="dxa" w:w="9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/config/scripts/vyos-preconfig-bootup.script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script is called on boot before the VyOS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41.9999999999999" w:type="dxa"/>
            </w:tblPr>
            <w:tblGrid>
              <w:gridCol w:w="9100"/>
            </w:tblGrid>
            <w:tr>
              <w:trPr>
                <w:trHeight w:hRule="exact" w:val="300"/>
              </w:trPr>
              <w:tc>
                <w:tcPr>
                  <w:tcW w:type="dxa" w:w="401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configuration during boot process.</w:t>
      </w:r>
    </w:p>
    <w:p>
      <w:pPr>
        <w:autoSpaceDN w:val="0"/>
        <w:autoSpaceDE w:val="0"/>
        <w:widowControl/>
        <w:spacing w:line="360" w:lineRule="exact" w:before="360" w:after="0"/>
        <w:ind w:left="18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Any modifications were done to work around unfixed bugs and implement enhancements that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are not complete in the VyOS system can be placed here.</w:t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default file looks like this:</w:t>
      </w:r>
    </w:p>
    <w:p>
      <w:pPr>
        <w:sectPr>
          <w:pgSz w:w="12240" w:h="15840"/>
          <w:pgMar w:top="720" w:right="1240" w:bottom="88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44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#!/bin/sh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# This script is executed at boot time before VyOS configuration is applied.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259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Any modifications required to work around unfixed bugs or use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# services not available through the VyOS CLI system can be placed here.</w:t>
            </w:r>
          </w:p>
        </w:tc>
      </w:tr>
      <w:tr>
        <w:trPr>
          <w:trHeight w:hRule="exact" w:val="117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Postconfig on boot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</w:rPr>
              <w:t>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/config/scripts/vyos-postconfig-bootup.script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script is called on boot after the VyOS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71.9999999999999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410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6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configuration is fully applied.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6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Any modifications were done to work around unfixed bugs and implement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7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enhancements that are not complete in the VyOS system can be placed here.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default file looks like this: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59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#!/bin/sh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# This script is executed at boot time after VyOS configuration is fully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# applied. Any modifications required to work around unfixed bugs or use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# services not available through the VyOS CLI system can be placed here.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