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IPsec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hyperlink r:id="rId9" w:history="1">
                <w:r>
                  <w:rPr>
                    <w:rStyle w:val="Hyperlink"/>
                  </w:rPr>
                  <w:t>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GRE, GRE/IPsec (or IPIP/IPsec, SIT/IPsec, or any other stateless tunnel protocol over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79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IPsec) is the usual way to protect the traffic inside a tunnel.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An advantage of this scheme is that you get a real interface with its own address, which </w:t>
            </w:r>
          </w:p>
        </w:tc>
      </w:tr>
    </w:tbl>
    <w:p>
      <w:pPr>
        <w:autoSpaceDN w:val="0"/>
        <w:autoSpaceDE w:val="0"/>
        <w:widowControl/>
        <w:spacing w:line="354" w:lineRule="exact" w:before="0" w:after="36"/>
        <w:ind w:left="182" w:right="144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makes it easier to setup static routes or use dynamic routing protocols without having to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modify IPsec policies. The other advantage is that it greatly simplifies router to router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communication, which can be tricky with plain IPsec because the external outgoing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address of the router usually doesn’t match the IPsec policy of typical site-to-site setup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and you need to add special configuration for it, or adjust the source address for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outgoing traffic of your applications. GRE/IPsec has no such problem and is completely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5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transparent for the applications.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GRE/IPIP/SIT and IPsec are widely accepted standards, which make this scheme easy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78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implement between VyOS and virtually any other router.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For simplicity we’ll assume that the protocol is GRE, it’s not hard to guess what needs to </w:t>
            </w:r>
          </w:p>
        </w:tc>
      </w:tr>
    </w:tbl>
    <w:p>
      <w:pPr>
        <w:autoSpaceDN w:val="0"/>
        <w:autoSpaceDE w:val="0"/>
        <w:widowControl/>
        <w:spacing w:line="348" w:lineRule="exact" w:before="0" w:after="354"/>
        <w:ind w:left="182" w:right="144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be changed to make it work with a different protocol. We assume that IPsec will use pre-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shared secret authentication and will use AES128/SHA1 for the cipher and hash. Adjust </w:t>
      </w:r>
      <w:r>
        <w:rPr>
          <w:rFonts w:ascii="Lato" w:hAnsi="Lato" w:eastAsia="Lato"/>
          <w:b w:val="0"/>
          <w:i w:val="0"/>
          <w:color w:val="3F3F3F"/>
          <w:sz w:val="24"/>
        </w:rPr>
        <w:t>this as 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VMware users should ensure that a VMXNET3 adapter is used. E1000 adapters have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known issues with GRE processing.</w:t>
            </w:r>
          </w:p>
        </w:tc>
      </w:tr>
    </w:tbl>
    <w:p>
      <w:pPr>
        <w:autoSpaceDN w:val="0"/>
        <w:autoSpaceDE w:val="0"/>
        <w:widowControl/>
        <w:spacing w:line="418" w:lineRule="exact" w:before="0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IKE (Internet Key Exchange) Attributes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0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IKE performs mutual authentication between two parties and establishes an IKE security </w:t>
      </w:r>
    </w:p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association (SA) that includes shared secret information that can be used to efficiently establish </w:t>
      </w:r>
    </w:p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SAs for Encapsulating Security Payload (ESP) or Authentication Header (AH) and a set of </w:t>
      </w:r>
    </w:p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cryptographic algorithms to be used by the SAs to protect the traffic that they </w:t>
      </w:r>
    </w:p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carry.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  <w:u w:val="single"/>
        </w:rPr>
        <w:hyperlink r:id="rId11" w:history="1">
          <w:r>
            <w:rPr>
              <w:rStyle w:val="Hyperlink"/>
            </w:rPr>
            <w:t>https://datatracker.ietf.org/doc/html/rfc5996</w:t>
          </w:r>
        </w:hyperlink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 VyOS, IKE attributes are specified through IKE groups. Multiple proposals can be specified </w:t>
      </w:r>
    </w:p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 a single group.</w:t>
      </w:r>
    </w:p>
    <w:p>
      <w:pPr>
        <w:sectPr>
          <w:pgSz w:w="12240" w:h="15840"/>
          <w:pgMar w:top="720" w:right="1240" w:bottom="75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332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VyOS IKE group has the next options: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88"/>
        <w:gridCol w:w="4688"/>
      </w:tblGrid>
      <w:tr>
        <w:trPr>
          <w:trHeight w:hRule="exact" w:val="434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8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080"/>
            </w:tblGrid>
            <w:tr>
              <w:trPr>
                <w:trHeight w:hRule="exact" w:val="320"/>
              </w:trPr>
              <w:tc>
                <w:tcPr>
                  <w:tcW w:type="dxa" w:w="1138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close-action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defines the action to take if the remote peer unexpectedly closes a 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16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CHILD_SA: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88"/>
        <w:gridCol w:w="4688"/>
      </w:tblGrid>
      <w:tr>
        <w:trPr>
          <w:trHeight w:hRule="exact" w:val="147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0" w:after="0"/>
              <w:ind w:left="362" w:right="116" w:firstLine="0"/>
              <w:jc w:val="both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20"/>
            </w:tblGrid>
            <w:tr>
              <w:trPr>
                <w:trHeight w:hRule="exact" w:val="320"/>
              </w:trPr>
              <w:tc>
                <w:tcPr>
                  <w:tcW w:type="dxa" w:w="504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none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set action to none (default);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20"/>
            </w:tblGrid>
            <w:tr>
              <w:trPr>
                <w:trHeight w:hRule="exact" w:val="320"/>
              </w:trPr>
              <w:tc>
                <w:tcPr>
                  <w:tcW w:type="dxa" w:w="444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hold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set action to hold;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20"/>
            </w:tblGrid>
            <w:tr>
              <w:trPr>
                <w:trHeight w:hRule="exact" w:val="320"/>
              </w:trPr>
              <w:tc>
                <w:tcPr>
                  <w:tcW w:type="dxa" w:w="660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restart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set action to restart;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20"/>
            </w:tblGrid>
            <w:tr>
              <w:trPr>
                <w:trHeight w:hRule="exact" w:val="320"/>
              </w:trPr>
              <w:tc>
                <w:tcPr>
                  <w:tcW w:type="dxa" w:w="1894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dead-peer-detection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controls the use of the Dead Peer Detection protocol (DPD, RFC 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3706) where R_U_THERE notification messages (IKEv1) or empty </w:t>
      </w:r>
    </w:p>
    <w:p>
      <w:pPr>
        <w:autoSpaceDN w:val="0"/>
        <w:autoSpaceDE w:val="0"/>
        <w:widowControl/>
        <w:spacing w:line="266" w:lineRule="exact" w:before="94" w:after="0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INFORMATIONAL messages (IKEv2) are periodically sent in order to check the </w:t>
      </w:r>
    </w:p>
    <w:p>
      <w:pPr>
        <w:autoSpaceDN w:val="0"/>
        <w:autoSpaceDE w:val="0"/>
        <w:widowControl/>
        <w:spacing w:line="266" w:lineRule="exact" w:before="94" w:after="16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liveliness of the IPsec peer: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88"/>
        <w:gridCol w:w="4688"/>
      </w:tblGrid>
      <w:tr>
        <w:trPr>
          <w:trHeight w:hRule="exact" w:val="2552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0" w:after="0"/>
              <w:ind w:left="362" w:right="116" w:firstLine="0"/>
              <w:jc w:val="both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360"/>
            </w:tblGrid>
            <w:tr>
              <w:trPr>
                <w:trHeight w:hRule="exact" w:val="320"/>
              </w:trPr>
              <w:tc>
                <w:tcPr>
                  <w:tcW w:type="dxa" w:w="610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action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keep-alive failure action: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360"/>
            </w:tblGrid>
            <w:tr>
              <w:trPr>
                <w:trHeight w:hRule="exact" w:val="320"/>
              </w:trPr>
              <w:tc>
                <w:tcPr>
                  <w:tcW w:type="dxa" w:w="444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hold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set action to hold (default)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360"/>
            </w:tblGrid>
            <w:tr>
              <w:trPr>
                <w:trHeight w:hRule="exact" w:val="320"/>
              </w:trPr>
              <w:tc>
                <w:tcPr>
                  <w:tcW w:type="dxa" w:w="500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clear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set action to clear;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360"/>
            </w:tblGrid>
            <w:tr>
              <w:trPr>
                <w:trHeight w:hRule="exact" w:val="320"/>
              </w:trPr>
              <w:tc>
                <w:tcPr>
                  <w:tcW w:type="dxa" w:w="660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restart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set action to restart;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360"/>
            </w:tblGrid>
            <w:tr>
              <w:trPr>
                <w:trHeight w:hRule="exact" w:val="320"/>
              </w:trPr>
              <w:tc>
                <w:tcPr>
                  <w:tcW w:type="dxa" w:w="742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interval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keep-alive interval in seconds &lt;2-86400&gt; (default 30);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360"/>
            </w:tblGrid>
            <w:tr>
              <w:trPr>
                <w:trHeight w:hRule="exact" w:val="320"/>
              </w:trPr>
              <w:tc>
                <w:tcPr>
                  <w:tcW w:type="dxa" w:w="756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timeout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keep-alive timeout in seconds &lt;2-86400&gt; (default 120) IKEv1 only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360"/>
            </w:tblGrid>
            <w:tr>
              <w:trPr>
                <w:trHeight w:hRule="exact" w:val="320"/>
              </w:trPr>
              <w:tc>
                <w:tcPr>
                  <w:tcW w:type="dxa" w:w="1200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ikev2-reauth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whether rekeying of an IKE_SA should also reauthenticate the peer. In </w:t>
            </w:r>
          </w:p>
        </w:tc>
      </w:tr>
    </w:tbl>
    <w:p>
      <w:pPr>
        <w:autoSpaceDN w:val="0"/>
        <w:autoSpaceDE w:val="0"/>
        <w:widowControl/>
        <w:spacing w:line="266" w:lineRule="exact" w:before="46" w:after="0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IKEv1, reauthentication is always done. Setting this parameter enables remote host </w:t>
      </w:r>
    </w:p>
    <w:p>
      <w:pPr>
        <w:autoSpaceDN w:val="0"/>
        <w:autoSpaceDE w:val="0"/>
        <w:widowControl/>
        <w:spacing w:line="266" w:lineRule="exact" w:before="94" w:after="16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re-authentication during an IKE rekey.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88"/>
        <w:gridCol w:w="4688"/>
      </w:tblGrid>
      <w:tr>
        <w:trPr>
          <w:trHeight w:hRule="exact" w:val="392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240"/>
            </w:tblGrid>
            <w:tr>
              <w:trPr>
                <w:trHeight w:hRule="exact" w:val="320"/>
              </w:trPr>
              <w:tc>
                <w:tcPr>
                  <w:tcW w:type="dxa" w:w="1322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key-exchange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which protocol should be used to initialize the connection If not set </w:t>
            </w:r>
          </w:p>
        </w:tc>
      </w:tr>
    </w:tbl>
    <w:p>
      <w:pPr>
        <w:autoSpaceDN w:val="0"/>
        <w:autoSpaceDE w:val="0"/>
        <w:widowControl/>
        <w:spacing w:line="266" w:lineRule="exact" w:before="46" w:after="0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both protocols are handled and connections will use IKEv2 when initiating, but </w:t>
      </w:r>
    </w:p>
    <w:p>
      <w:pPr>
        <w:autoSpaceDN w:val="0"/>
        <w:autoSpaceDE w:val="0"/>
        <w:widowControl/>
        <w:spacing w:line="266" w:lineRule="exact" w:before="94" w:after="16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accept any protocol version when responding: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88"/>
        <w:gridCol w:w="4688"/>
      </w:tblGrid>
      <w:tr>
        <w:trPr>
          <w:trHeight w:hRule="exact" w:val="1472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0" w:after="0"/>
              <w:ind w:left="362" w:right="116" w:firstLine="0"/>
              <w:jc w:val="both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20"/>
            </w:tblGrid>
            <w:tr>
              <w:trPr>
                <w:trHeight w:hRule="exact" w:val="320"/>
              </w:trPr>
              <w:tc>
                <w:tcPr>
                  <w:tcW w:type="dxa" w:w="542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ikev1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use IKEv1 for Key Exchange;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20"/>
            </w:tblGrid>
            <w:tr>
              <w:trPr>
                <w:trHeight w:hRule="exact" w:val="320"/>
              </w:trPr>
              <w:tc>
                <w:tcPr>
                  <w:tcW w:type="dxa" w:w="542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ikev2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use IKEv2 for Key Exchange;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20"/>
            </w:tblGrid>
            <w:tr>
              <w:trPr>
                <w:trHeight w:hRule="exact" w:val="320"/>
              </w:trPr>
              <w:tc>
                <w:tcPr>
                  <w:tcW w:type="dxa" w:w="736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lifetime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IKE lifetime in seconds &lt;0-86400&gt; (default 28800);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20"/>
            </w:tblGrid>
            <w:tr>
              <w:trPr>
                <w:trHeight w:hRule="exact" w:val="320"/>
              </w:trPr>
              <w:tc>
                <w:tcPr>
                  <w:tcW w:type="dxa" w:w="1428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disable-mobike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disables MOBIKE Support. MOBIKE is only available for IKEv2 and</w:t>
            </w:r>
          </w:p>
        </w:tc>
      </w:tr>
    </w:tbl>
    <w:p>
      <w:pPr>
        <w:autoSpaceDN w:val="0"/>
        <w:autoSpaceDE w:val="0"/>
        <w:widowControl/>
        <w:spacing w:line="266" w:lineRule="exact" w:before="46" w:after="16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enabled by default.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88"/>
        <w:gridCol w:w="4688"/>
      </w:tblGrid>
      <w:tr>
        <w:trPr>
          <w:trHeight w:hRule="exact" w:val="752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288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180"/>
            </w:tblGrid>
            <w:tr>
              <w:trPr>
                <w:trHeight w:hRule="exact" w:val="320"/>
              </w:trPr>
              <w:tc>
                <w:tcPr>
                  <w:tcW w:type="dxa" w:w="566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mode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IKEv1 Phase 1 Mode Selection: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180"/>
            </w:tblGrid>
            <w:tr>
              <w:trPr>
                <w:trHeight w:hRule="exact" w:val="320"/>
              </w:trPr>
              <w:tc>
                <w:tcPr>
                  <w:tcW w:type="dxa" w:w="506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main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use Main mode for Key Exchanges in the IKEv1 Protocol (Recommended </w:t>
            </w:r>
          </w:p>
        </w:tc>
      </w:tr>
    </w:tbl>
    <w:p>
      <w:pPr>
        <w:autoSpaceDN w:val="0"/>
        <w:autoSpaceDE w:val="0"/>
        <w:widowControl/>
        <w:spacing w:line="266" w:lineRule="exact" w:before="46" w:after="16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Default);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88"/>
        <w:gridCol w:w="4688"/>
      </w:tblGrid>
      <w:tr>
        <w:trPr>
          <w:trHeight w:hRule="exact" w:val="392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40"/>
            </w:tblGrid>
            <w:tr>
              <w:trPr>
                <w:trHeight w:hRule="exact" w:val="320"/>
              </w:trPr>
              <w:tc>
                <w:tcPr>
                  <w:tcW w:type="dxa" w:w="1034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aggressive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use Aggressive mode for Key Exchanges in the IKEv1 protocol aggressive</w:t>
            </w:r>
          </w:p>
        </w:tc>
      </w:tr>
    </w:tbl>
    <w:p>
      <w:pPr>
        <w:autoSpaceDN w:val="0"/>
        <w:autoSpaceDE w:val="0"/>
        <w:widowControl/>
        <w:spacing w:line="266" w:lineRule="exact" w:before="46" w:after="0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mode is much more insecure compared to Main mode;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88"/>
        <w:gridCol w:w="4688"/>
      </w:tblGrid>
      <w:tr>
        <w:trPr>
          <w:trHeight w:hRule="exact" w:val="109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0" w:after="0"/>
              <w:ind w:left="362" w:right="116" w:firstLine="0"/>
              <w:jc w:val="both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6720"/>
            </w:tblGrid>
            <w:tr>
              <w:trPr>
                <w:trHeight w:hRule="exact" w:val="320"/>
              </w:trPr>
              <w:tc>
                <w:tcPr>
                  <w:tcW w:type="dxa" w:w="832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proposal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the list of proposals and their parameters: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6720"/>
            </w:tblGrid>
            <w:tr>
              <w:trPr>
                <w:trHeight w:hRule="exact" w:val="320"/>
              </w:trPr>
              <w:tc>
                <w:tcPr>
                  <w:tcW w:type="dxa" w:w="876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dh-group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dh-group;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6720"/>
            </w:tblGrid>
            <w:tr>
              <w:trPr>
                <w:trHeight w:hRule="exact" w:val="320"/>
              </w:trPr>
              <w:tc>
                <w:tcPr>
                  <w:tcW w:type="dxa" w:w="1018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encryption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encryption algorithm;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4" w:bottom="7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80"/>
        <w:gridCol w:w="4680"/>
      </w:tblGrid>
      <w:tr>
        <w:trPr>
          <w:trHeight w:hRule="exact" w:val="664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8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5680"/>
            </w:tblGrid>
            <w:tr>
              <w:trPr>
                <w:trHeight w:hRule="exact" w:val="320"/>
              </w:trPr>
              <w:tc>
                <w:tcPr>
                  <w:tcW w:type="dxa" w:w="488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hash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hash algorithm.</w:t>
            </w:r>
          </w:p>
          <w:p>
            <w:pPr>
              <w:autoSpaceDN w:val="0"/>
              <w:autoSpaceDE w:val="0"/>
              <w:widowControl/>
              <w:spacing w:line="266" w:lineRule="exact" w:before="94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prf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pseudo-random function.</w:t>
            </w:r>
          </w:p>
        </w:tc>
      </w:tr>
    </w:tbl>
    <w:p>
      <w:pPr>
        <w:autoSpaceDN w:val="0"/>
        <w:autoSpaceDE w:val="0"/>
        <w:widowControl/>
        <w:spacing w:line="420" w:lineRule="exact" w:before="22" w:after="0"/>
        <w:ind w:left="2" w:right="1584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 xml:space="preserve">ESP (Encapsulating Security Payload) </w:t>
      </w:r>
      <w:r>
        <w:rPr>
          <w:rFonts w:ascii="DejaVu Sans" w:hAnsi="DejaVu Sans" w:eastAsia="DejaVu Sans"/>
          <w:b/>
          <w:i w:val="0"/>
          <w:color w:val="000000"/>
          <w:sz w:val="36"/>
        </w:rPr>
        <w:t>Attributes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2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ESP is used to provide confidentiality, data origin authentication, connectionless integrity, an </w:t>
      </w:r>
    </w:p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anti-replay service (a form of partial sequence integrity), and limited traffic flow </w:t>
      </w:r>
    </w:p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confidentiality.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  <w:u w:val="single"/>
        </w:rPr>
        <w:hyperlink r:id="rId13" w:history="1">
          <w:r>
            <w:rPr>
              <w:rStyle w:val="Hyperlink"/>
            </w:rPr>
            <w:t>https://datatracker.ietf.org/doc/html/rfc4303</w:t>
          </w:r>
        </w:hyperlink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 VyOS, ESP attributes are specified through ESP groups. Multiple proposals can be specified </w:t>
      </w:r>
    </w:p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 a single group.</w:t>
      </w:r>
    </w:p>
    <w:p>
      <w:pPr>
        <w:autoSpaceDN w:val="0"/>
        <w:autoSpaceDE w:val="0"/>
        <w:widowControl/>
        <w:spacing w:line="266" w:lineRule="exact" w:before="454" w:after="332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VyOS ESP group has the next options: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80"/>
        <w:gridCol w:w="4680"/>
      </w:tblGrid>
      <w:tr>
        <w:trPr>
          <w:trHeight w:hRule="exact" w:val="434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8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300"/>
            </w:tblGrid>
            <w:tr>
              <w:trPr>
                <w:trHeight w:hRule="exact" w:val="320"/>
              </w:trPr>
              <w:tc>
                <w:tcPr>
                  <w:tcW w:type="dxa" w:w="1200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compression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Enables the IPComp(IP Payload Compression) protocol which allows 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16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compressing the content of IP packets.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80"/>
        <w:gridCol w:w="4680"/>
      </w:tblGrid>
      <w:tr>
        <w:trPr>
          <w:trHeight w:hRule="exact" w:val="39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320"/>
            </w:tblGrid>
            <w:tr>
              <w:trPr>
                <w:trHeight w:hRule="exact" w:val="320"/>
              </w:trPr>
              <w:tc>
                <w:tcPr>
                  <w:tcW w:type="dxa" w:w="890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life-bytes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ESP life in bytes &lt;1024-26843545600000&gt;. Number of bytes transmitted 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16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over an IPsec SA before it expires;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80"/>
        <w:gridCol w:w="4680"/>
      </w:tblGrid>
      <w:tr>
        <w:trPr>
          <w:trHeight w:hRule="exact" w:val="39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060"/>
            </w:tblGrid>
            <w:tr>
              <w:trPr>
                <w:trHeight w:hRule="exact" w:val="320"/>
              </w:trPr>
              <w:tc>
                <w:tcPr>
                  <w:tcW w:type="dxa" w:w="1098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life-packets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ESP life in packets &lt;1000-26843545600000&gt;. Number of packets 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16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transmitted over an IPsec SA before it expires;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80"/>
        <w:gridCol w:w="4680"/>
      </w:tblGrid>
      <w:tr>
        <w:trPr>
          <w:trHeight w:hRule="exact" w:val="39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300"/>
            </w:tblGrid>
            <w:tr>
              <w:trPr>
                <w:trHeight w:hRule="exact" w:val="320"/>
              </w:trPr>
              <w:tc>
                <w:tcPr>
                  <w:tcW w:type="dxa" w:w="736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lifetime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ESP lifetime in seconds &lt;30-86400&gt; (default 3600). How long a particular 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instance of a connection (a set of encryption/authentication keys for user packets) </w:t>
      </w:r>
    </w:p>
    <w:p>
      <w:pPr>
        <w:autoSpaceDN w:val="0"/>
        <w:autoSpaceDE w:val="0"/>
        <w:widowControl/>
        <w:spacing w:line="266" w:lineRule="exact" w:before="94" w:after="16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should last, from successful negotiation to expiry;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80"/>
        <w:gridCol w:w="4680"/>
      </w:tblGrid>
      <w:tr>
        <w:trPr>
          <w:trHeight w:hRule="exact" w:val="147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0" w:after="0"/>
              <w:ind w:left="362" w:right="116" w:firstLine="0"/>
              <w:jc w:val="both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300"/>
            </w:tblGrid>
            <w:tr>
              <w:trPr>
                <w:trHeight w:hRule="exact" w:val="320"/>
              </w:trPr>
              <w:tc>
                <w:tcPr>
                  <w:tcW w:type="dxa" w:w="566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mode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the type of the connection: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300"/>
            </w:tblGrid>
            <w:tr>
              <w:trPr>
                <w:trHeight w:hRule="exact" w:val="320"/>
              </w:trPr>
              <w:tc>
                <w:tcPr>
                  <w:tcW w:type="dxa" w:w="628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tunnel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tunnel mode (default);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300"/>
            </w:tblGrid>
            <w:tr>
              <w:trPr>
                <w:trHeight w:hRule="exact" w:val="320"/>
              </w:trPr>
              <w:tc>
                <w:tcPr>
                  <w:tcW w:type="dxa" w:w="888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transport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transport mode;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300"/>
            </w:tblGrid>
            <w:tr>
              <w:trPr>
                <w:trHeight w:hRule="exact" w:val="320"/>
              </w:trPr>
              <w:tc>
                <w:tcPr>
                  <w:tcW w:type="dxa" w:w="328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pfs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whether Perfect Forward Secrecy of keys is desired on the connection’s keying 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16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channel and defines a Diffie-Hellman group for PFS: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80"/>
        <w:gridCol w:w="4680"/>
      </w:tblGrid>
      <w:tr>
        <w:trPr>
          <w:trHeight w:hRule="exact" w:val="2122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0" w:after="0"/>
              <w:ind w:left="362" w:right="116" w:firstLine="0"/>
              <w:jc w:val="both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7340"/>
            </w:tblGrid>
            <w:tr>
              <w:trPr>
                <w:trHeight w:hRule="exact" w:val="320"/>
              </w:trPr>
              <w:tc>
                <w:tcPr>
                  <w:tcW w:type="dxa" w:w="666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enable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Inherit Diffie-Hellman group from IKE group (default);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7340"/>
            </w:tblGrid>
            <w:tr>
              <w:trPr>
                <w:trHeight w:hRule="exact" w:val="320"/>
              </w:trPr>
              <w:tc>
                <w:tcPr>
                  <w:tcW w:type="dxa" w:w="700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disable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Disable PFS;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7340"/>
            </w:tblGrid>
            <w:tr>
              <w:trPr>
                <w:trHeight w:hRule="exact" w:val="320"/>
              </w:trPr>
              <w:tc>
                <w:tcPr>
                  <w:tcW w:type="dxa" w:w="1292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&lt; dh-group &gt;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defines a Diffie-Hellman group for PFS;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7340"/>
            </w:tblGrid>
            <w:tr>
              <w:trPr>
                <w:trHeight w:hRule="exact" w:val="320"/>
              </w:trPr>
              <w:tc>
                <w:tcPr>
                  <w:tcW w:type="dxa" w:w="832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proposal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ESP-group proposal with number &lt;1-65535&gt;: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7340"/>
            </w:tblGrid>
            <w:tr>
              <w:trPr>
                <w:trHeight w:hRule="exact" w:val="320"/>
              </w:trPr>
              <w:tc>
                <w:tcPr>
                  <w:tcW w:type="dxa" w:w="1018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encryption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encryption algorithm (default 128 bit AES-CBC);</w:t>
            </w:r>
          </w:p>
          <w:p>
            <w:pPr>
              <w:autoSpaceDN w:val="0"/>
              <w:autoSpaceDE w:val="0"/>
              <w:widowControl/>
              <w:spacing w:line="266" w:lineRule="exact" w:before="94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hash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hash algorithm (default sha1).</w:t>
            </w:r>
          </w:p>
        </w:tc>
      </w:tr>
    </w:tbl>
    <w:p>
      <w:pPr>
        <w:autoSpaceDN w:val="0"/>
        <w:autoSpaceDE w:val="0"/>
        <w:widowControl/>
        <w:spacing w:line="418" w:lineRule="exact" w:before="2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Options (Global IPsec settings) Attributes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4" w:history="1">
          <w:r>
            <w:rPr>
              <w:rStyle w:val="Hyperlink"/>
            </w:rPr>
            <w:t></w:t>
          </w:r>
        </w:hyperlink>
      </w:r>
    </w:p>
    <w:p>
      <w:pPr>
        <w:sectPr>
          <w:pgSz w:w="12240" w:h="15840"/>
          <w:pgMar w:top="736" w:right="1440" w:bottom="8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109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362" w:right="116" w:firstLine="0"/>
              <w:jc w:val="both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20"/>
            </w:tblGrid>
            <w:tr>
              <w:trPr>
                <w:trHeight w:hRule="exact" w:val="304"/>
              </w:trPr>
              <w:tc>
                <w:tcPr>
                  <w:tcW w:type="dxa" w:w="718"/>
                  <w:tcBorders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options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20"/>
            </w:tblGrid>
            <w:tr>
              <w:trPr>
                <w:trHeight w:hRule="exact" w:val="320"/>
              </w:trPr>
              <w:tc>
                <w:tcPr>
                  <w:tcW w:type="dxa" w:w="2252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disable-route-autoinstall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Do not automatically install routes to remote networks;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20"/>
            </w:tblGrid>
            <w:tr>
              <w:trPr>
                <w:trHeight w:hRule="exact" w:val="320"/>
              </w:trPr>
              <w:tc>
                <w:tcPr>
                  <w:tcW w:type="dxa" w:w="720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flexvpn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Allows FlexVPN vendor ID payload (IKEv2 only). Send the Cisco FlexVPN </w:t>
            </w:r>
          </w:p>
        </w:tc>
      </w:tr>
    </w:tbl>
    <w:p>
      <w:pPr>
        <w:autoSpaceDN w:val="0"/>
        <w:autoSpaceDE w:val="0"/>
        <w:widowControl/>
        <w:spacing w:line="354" w:lineRule="exact" w:before="0" w:after="16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vendor ID payload (IKEv2 only), which is required in order to make Cisco brand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devices allow negotiating a local traffic selector (from strongSwan’s point of view)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that is not the assigned virtual IP address if such an address is requested by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strongSwan. Sending the Cisco FlexVPN vendor ID prevents the peer from narrowing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initiator’s local traffic selector and allows it to e.g. negotiate a TS of 0.0.0.0/0 ==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0.0.0.0/0 instead. This has been tested with a “tunnel mode ipsec ipv4” Cisco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template but should also work for GRE encapsulation;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392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100"/>
            </w:tblGrid>
            <w:tr>
              <w:trPr>
                <w:trHeight w:hRule="exact" w:val="320"/>
              </w:trPr>
              <w:tc>
                <w:tcPr>
                  <w:tcW w:type="dxa" w:w="858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interface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Interface Name to use. The name of the interface on which virtual IP </w:t>
            </w:r>
          </w:p>
        </w:tc>
      </w:tr>
    </w:tbl>
    <w:p>
      <w:pPr>
        <w:autoSpaceDN w:val="0"/>
        <w:autoSpaceDE w:val="0"/>
        <w:widowControl/>
        <w:spacing w:line="336" w:lineRule="exact" w:before="0" w:after="16"/>
        <w:ind w:left="10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addresses should be installed. If not specified the addresses will be installed on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outbound interface;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392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20"/>
            </w:tblGrid>
            <w:tr>
              <w:trPr>
                <w:trHeight w:hRule="exact" w:val="320"/>
              </w:trPr>
              <w:tc>
                <w:tcPr>
                  <w:tcW w:type="dxa" w:w="860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virtual-ip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Allows to install virtual-ip addresses. Comma separated list of virtual IPs to </w:t>
            </w:r>
          </w:p>
        </w:tc>
      </w:tr>
    </w:tbl>
    <w:p>
      <w:pPr>
        <w:autoSpaceDN w:val="0"/>
        <w:autoSpaceDE w:val="0"/>
        <w:widowControl/>
        <w:spacing w:line="336" w:lineRule="exact" w:before="0" w:after="0"/>
        <w:ind w:left="10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request in IKEv2 configuration payloads or IKEv1 Mode Config. The wildcard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addresses 0.0.0.0 and :: request an arbitrary address, specific addresses may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defined. The responder may return a different address, though, or none at all. Define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</w:t>
      </w:r>
      <w:r>
        <w:rPr>
          <w:rFonts w:ascii="DejaVu Sans" w:hAnsi="DejaVu Sans" w:eastAsia="DejaVu Sans"/>
          <w:b w:val="0"/>
          <w:i w:val="0"/>
          <w:color w:val="E74C3C"/>
          <w:sz w:val="18"/>
        </w:rPr>
        <w:t>virtual-address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option to configure the IP address in site-to-site hierarchy.</w:t>
      </w:r>
    </w:p>
    <w:p>
      <w:pPr>
        <w:autoSpaceDN w:val="0"/>
        <w:autoSpaceDE w:val="0"/>
        <w:widowControl/>
        <w:spacing w:line="418" w:lineRule="exact" w:before="46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IPsec policy matching GRE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5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2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first and arguably cleaner option is to make your IPsec policy match GRE packets between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external addresses of your routers. This is the best option if both routers have static external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addresses.</w:t>
      </w:r>
    </w:p>
    <w:p>
      <w:pPr>
        <w:autoSpaceDN w:val="0"/>
        <w:autoSpaceDE w:val="0"/>
        <w:widowControl/>
        <w:spacing w:line="360" w:lineRule="exact" w:before="36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Suppose the LEFT router has external address 192.0.2.10 on its eth0 interface, and the RIGHT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router is 203.0.113.45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On the LEFT: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46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GRE tunnel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tunnel tun0 encapsulation gre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tunnel tun0 source-address 192.0.2.10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tunnel tun0 remote 203.0.113.45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tunnel tun0 address 10.10.10.1/30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59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331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## IPsec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ipsec interface eth0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62"/>
        </w:trPr>
        <w:tc>
          <w:tcPr>
            <w:tcW w:type="dxa" w:w="70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30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Pre-shared-secret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ipsec authentication psk vyos id 192.0.2.10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36" w:right="1420" w:bottom="7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8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authentication psk vyos id 203.0.113.45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ipsec authentication psk vyos secret MYSECRETKEY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960"/>
        </w:trPr>
        <w:tc>
          <w:tcPr>
            <w:tcW w:type="dxa" w:w="77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5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IKE group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ike-group MyIKEGroup proposal 1 dh-group '2'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ike-group MyIKEGroup proposal 1 encryption 'aes128'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ipsec ike-group MyIKEGroup proposal 1 hash 'sha1'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50"/>
        </w:trPr>
        <w:tc>
          <w:tcPr>
            <w:tcW w:type="dxa" w:w="77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4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ESP group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esp-group MyESPGroup proposal 1 encryption 'aes128'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ipsec esp-group MyESPGroup proposal 1 hash 'sha1'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50"/>
        </w:trPr>
        <w:tc>
          <w:tcPr>
            <w:tcW w:type="dxa" w:w="80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2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IPsec tunnel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right authentication mode pre-shared-secret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ipsec site-to-site peer right authentication remote-id 203.0.113.45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77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5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right ike-group MyIKEGroup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ipsec site-to-site peer right default-esp-group MyESPGroup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76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5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right local-address 192.0.2.10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ipsec site-to-site peer right remote-address 203.0.113.45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28"/>
        </w:trPr>
        <w:tc>
          <w:tcPr>
            <w:tcW w:type="dxa" w:w="72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01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This will match all GRE traffic to the peer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ipsec site-to-site peer right tunnel 1 protocol gre</w:t>
            </w:r>
          </w:p>
        </w:tc>
      </w:tr>
    </w:tbl>
    <w:p>
      <w:pPr>
        <w:autoSpaceDN w:val="0"/>
        <w:autoSpaceDE w:val="0"/>
        <w:widowControl/>
        <w:spacing w:line="266" w:lineRule="exact" w:before="4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On the RIGHT, setup by analogy and swap local and remote addresses.</w:t>
      </w:r>
    </w:p>
    <w:p>
      <w:pPr>
        <w:autoSpaceDN w:val="0"/>
        <w:autoSpaceDE w:val="0"/>
        <w:widowControl/>
        <w:spacing w:line="348" w:lineRule="exact" w:before="36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Source tunnel from loopbacks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6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scheme above doesn’t work when one of the routers has a dynamic external address though.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classic workaround for this is to setup an address on a loopback interface and use it as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source address for the GRE tunnel, then setup an IPsec policy to match those loopback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addresses.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We assume that the LEFT router has static 192.0.2.10 address on eth0, and the RIGHT router has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 dynamic address on eth0.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peer names RIGHT and LEFT are used as informational text.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Setting up the GRE tunnel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On the LEFT: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6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loopback lo address 192.168.99.1/32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82"/>
        </w:trPr>
        <w:tc>
          <w:tcPr>
            <w:tcW w:type="dxa" w:w="71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16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tunnel tun0 encapsulation gre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tunnel tun0 address 10.10.10.1/30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tunnel tun0 source-address 192.168.99.1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tunnel tun0 remote 192.168.99.2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On the RIGHT: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loopback lo address 192.168.99.2/32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946"/>
        </w:trPr>
        <w:tc>
          <w:tcPr>
            <w:tcW w:type="dxa" w:w="71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16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tunnel tun0 encapsulation gre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tunnel tun0 address 10.10.10.2/30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tunnel tun0 source-address 192.168.99.2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tunnel tun0 remote 192.168.99.1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Setting up IPSec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However, now you need to make IPsec work with dynamic address on one side. The tricky part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is that pre-shared secret authentication doesn’t work with dynamic address, so we’ll have to use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RSA keys.</w:t>
      </w:r>
    </w:p>
    <w:p>
      <w:pPr>
        <w:autoSpaceDN w:val="0"/>
        <w:autoSpaceDE w:val="0"/>
        <w:widowControl/>
        <w:spacing w:line="360" w:lineRule="exact" w:before="360" w:after="358"/>
        <w:ind w:left="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First, on both routers run the operational command “generate pki key-pair install &lt;key-pair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name&gt;”. You may choose different length than 2048 of course.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3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12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vyos@left# run generate pki key-pair install ipsec-LEFT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Enter private key type: [rsa, dsa, ec] (Default: rsa)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Enter private key bits: (Default: 2048)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Note: If you plan to use the generated key on this router, do not encrypt the private key.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331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Do you want to encrypt the private key with a passphrase? [y/N] N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Configure mode commands to install key pair: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Do you want to install the public key? [Y/n] Y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pki key-pair ipsec-LEFT public key 'MIIBIjANBgkqh...'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Do you want to install the private key? [Y/n] Y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pki key-pair ipsec-LEFT private key 'MIIEvgIBADAN...'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[edit]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Configuration commands for the private and public key will be displayed on the screen which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needs to be set on the router first. Note the command with the public key (set pki key-pair ipsec-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LEFT public key ‘MIIBIjANBgkqh…’). Then do the same on the opposite router: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vyos@left# run generate pki key-pair install ipsec-RIGHT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144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Note the command with the public key (set pki key-pair ipsec-RIGHT public key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‘FAAOCAQ8AMII…’).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Now the noted public keys should be entered on the opposite routers.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On the LEFT: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pki key-pair ipsec-RIGHT public key 'FAAOCAQ8AMII...'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On the RIGHT: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pki key-pair ipsec-LEFT public key 'MIIBIjANBgkqh...'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7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Now you are ready to setup IPsec. You’ll need to use an ID instead of address for the peer.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On the LEFT (static address):</w:t>
      </w:r>
    </w:p>
    <w:p>
      <w:pPr>
        <w:autoSpaceDN w:val="0"/>
        <w:autoSpaceDE w:val="0"/>
        <w:widowControl/>
        <w:spacing w:line="210" w:lineRule="exact" w:before="360" w:after="15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8"/>
        </w:rPr>
        <w:t>set vpn ipsec interface eth0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316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esp-group MyESPGroup proposal 1 encryption aes128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ipsec esp-group MyESPGroup proposal 1 hash sha1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50"/>
        </w:trPr>
        <w:tc>
          <w:tcPr>
            <w:tcW w:type="dxa" w:w="76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5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ike-group MyIKEGroup proposal 1 dh-group 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ike-group MyIKEGroup proposal 1 encryption aes128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ipsec ike-group MyIKEGroup proposal 1 hash sha1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838"/>
        </w:trPr>
        <w:tc>
          <w:tcPr>
            <w:tcW w:type="dxa" w:w="92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RIGHT authentication local-id LEFT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RIGHT authentication mode rsa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RIGHT authentication rsa local-key ipsec-LEFT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RIGHT authentication rsa remote-key ipsec-RIGHT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RIGHT authentication remote-id RIGHT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RIGHT default-esp-group MyESPGroup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RIGHT ike-group MyIKEGroup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RIGHT local-address 192.0.2.10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RIGHT connection-type respond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RIGHT tunnel 1 local prefix 192.168.99.1/32  # Additional loopback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address on the local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RIGHT tunnel 1 remote prefix 192.168.99.2/32 # Additional loopback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address on the remote</w:t>
            </w:r>
          </w:p>
        </w:tc>
      </w:tr>
    </w:tbl>
    <w:p>
      <w:pPr>
        <w:autoSpaceDN w:val="0"/>
        <w:autoSpaceDE w:val="0"/>
        <w:widowControl/>
        <w:spacing w:line="266" w:lineRule="exact" w:before="4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On the RIGHT (dynamic address):</w:t>
      </w:r>
    </w:p>
    <w:p>
      <w:pPr>
        <w:autoSpaceDN w:val="0"/>
        <w:autoSpaceDE w:val="0"/>
        <w:widowControl/>
        <w:spacing w:line="210" w:lineRule="exact" w:before="360" w:after="15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8"/>
        </w:rPr>
        <w:t>set vpn ipsec interface eth0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316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esp-group MyESPGroup proposal 1 encryption aes128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ipsec esp-group MyESPGroup proposal 1 hash sha1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50"/>
        </w:trPr>
        <w:tc>
          <w:tcPr>
            <w:tcW w:type="dxa" w:w="76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5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ike-group MyIKEGroup proposal 1 dh-group 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ike-group MyIKEGroup proposal 1 encryption aes128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ipsec ike-group MyIKEGroup proposal 1 hash sha1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980"/>
        </w:trPr>
        <w:tc>
          <w:tcPr>
            <w:tcW w:type="dxa" w:w="91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LEFT authentication local-id RIGHT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LEFT authentication mode rsa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LEFT authentication rsa local-key ipsec-RIGHT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LEFT authentication rsa remote-key ipsec-LEFT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LEFT authentication remote-id LEFT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LEFT connection-type initiate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LEFT default-esp-group MyESPGroup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LEFT ike-group MyIKEGroup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LEFT local-address any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LEFT remote-address 192.0.2.10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LEFT tunnel 1 local prefix 192.168.99.2/32  # Additional loopback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address on the local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LEFT tunnel 1 remote prefix 192.168.99.1/32 # Additional loopback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address on the remote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66" w:right="1420" w:bottom="139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vyos.io/en/latest/configuration/vpn/ipsec.html#ipsec" TargetMode="External"/><Relationship Id="rId10" Type="http://schemas.openxmlformats.org/officeDocument/2006/relationships/hyperlink" Target="https://docs.vyos.io/en/latest/configuration/vpn/ipsec.html#ike-internet-key-exchange-attributes" TargetMode="External"/><Relationship Id="rId11" Type="http://schemas.openxmlformats.org/officeDocument/2006/relationships/hyperlink" Target="https://datatracker.ietf.org/doc/html/rfc5996" TargetMode="External"/><Relationship Id="rId12" Type="http://schemas.openxmlformats.org/officeDocument/2006/relationships/hyperlink" Target="https://docs.vyos.io/en/latest/configuration/vpn/ipsec.html#esp-encapsulating-security-payload-attributes" TargetMode="External"/><Relationship Id="rId13" Type="http://schemas.openxmlformats.org/officeDocument/2006/relationships/hyperlink" Target="https://datatracker.ietf.org/doc/html/rfc4303" TargetMode="External"/><Relationship Id="rId14" Type="http://schemas.openxmlformats.org/officeDocument/2006/relationships/hyperlink" Target="https://docs.vyos.io/en/latest/configuration/vpn/ipsec.html#options-global-ipsec-settings-attributes" TargetMode="External"/><Relationship Id="rId15" Type="http://schemas.openxmlformats.org/officeDocument/2006/relationships/hyperlink" Target="https://docs.vyos.io/en/latest/configuration/vpn/ipsec.html#ipsec-policy-matching-gre" TargetMode="External"/><Relationship Id="rId16" Type="http://schemas.openxmlformats.org/officeDocument/2006/relationships/hyperlink" Target="https://docs.vyos.io/en/latest/configuration/vpn/ipsec.html#source-tunnel-from-loopba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