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L2TP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utilizes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accel-ppp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to provide L2TP server functionality. It can be used with local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authentication or a connected RADIUS server.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L2TP over IPsec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 for configuring a simple L2TP over IPsec VPN for remote access (works with native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Windows and Mac VPN clients):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ipsec interface eth0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76"/>
        </w:trPr>
        <w:tc>
          <w:tcPr>
            <w:tcW w:type="dxa" w:w="85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outside-address 192.0.2.2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client-ip-pool start 192.168.255.2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client-ip-pool stop 192.168.255.254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ipsec-settings authentication mode pre-shared-secret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ipsec-settings authentication pre-shared-secret &lt;secret&gt;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authentication mode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local-users username test password 'test'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the above example, an external IP of 192.0.2.2 is assumed.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a local firewall policy is in place on your external interface you will need to allow the ports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below: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38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UDP port 500 (IKE)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2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IP protocol number 50 (ESP)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360" w:lineRule="exact" w:before="0" w:after="0"/>
        <w:ind w:left="2" w:right="144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UDP port 1701 for IPsec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well as the below to allow NAT-traversal (when NAT is detected by the VPN client, ESP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encapsulated in UDP for NAT-traversal):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426" w:lineRule="exact" w:before="228" w:after="360"/>
        <w:ind w:left="2" w:right="5760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UDP port 4500 (NAT-T)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40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40 protocol 'esp'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41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41 destination port '500'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41 protocol 'udp'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42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42 destination port '4500'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42 protocol 'udp'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43 action 'accept'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name OUTSIDE-LOCAL rule 43 destination port '1701'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firewall name OUTSIDE-LOCAL rule 43 ipsec 'match-ipsec'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firewall name OUTSIDE-LOCAL rule 43 protocol 'udp'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allow VPN-clients access via your external address, a NAT rule is required: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source rule 110 outbound-interface 'eth0'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source rule 110 source address '192.168.255.0/24'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nat source rule 110 translation address masquerade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VPN-clients will request configuration parameters, optionally you can DNS parameter 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name-server '198.51.100.8'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name-server '198.51.100.4'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Established sessions can be viewed using the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show l2tp-server sessions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operational command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vyos@vyos:~$ show l2tp-server sessions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ifname | username |      ip       | ip6 | ip6-dp | calling-sid | rate-limit | state  |  uptime  | rx-bytes | tx-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bytes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--------+----------+---------------+-----+--------+-------------+------------+--------+----------+----------+----------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l2tp0  | test     | 192.168.255.3 |     |        | 192.168.0.36 |            | active | 02:01:47 | 7.7 KiB  | 1.2 KiB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LNS (L2TP Network Server)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LNS are often used to connect to a LAC (L2TP Access Concentrator).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Below is an example to configure a LNS: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outside-address 192.0.2.2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client-ip-pool start 192.168.255.2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client-ip-pool stop 192.168.255.254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lns shared-secret 'secret'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ccp-disable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authentication mode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local-users username test password 'test'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example above uses 192.0.2.2 as external IP address. A LAC normally requires 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2"/>
        </w:trPr>
        <w:tc>
          <w:tcPr>
            <w:tcW w:type="dxa" w:w="9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authentication password, which is set in the example configuration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lns shared-secret 'secret'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20.0" w:type="dxa"/>
            </w:tblPr>
            <w:tblGrid>
              <w:gridCol w:w="9280"/>
            </w:tblGrid>
            <w:tr>
              <w:trPr>
                <w:trHeight w:hRule="exact" w:val="300"/>
              </w:trPr>
              <w:tc>
                <w:tcPr>
                  <w:tcW w:type="dxa" w:w="236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setup requires the Compression Control Protocol (CCP) being disabled,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command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vpn l2tp remote-access ccp-disable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accomplishes that.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4.0" w:type="dxa"/>
            </w:tblPr>
            <w:tblGrid>
              <w:gridCol w:w="7920"/>
            </w:tblGrid>
            <w:tr>
              <w:trPr>
                <w:trHeight w:hRule="exact" w:val="300"/>
              </w:trPr>
              <w:tc>
                <w:tcPr>
                  <w:tcW w:type="dxa" w:w="36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18" w:lineRule="exact" w:before="30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Bandwidth Shaping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710" w:lineRule="exact" w:before="10" w:after="0"/>
        <w:ind w:left="2" w:right="158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Bandwidth rate limits can be set for local users or via RADIUS based attributes. </w:t>
      </w:r>
      <w:r>
        <w:rPr>
          <w:rFonts w:ascii="DejaVu Sans" w:hAnsi="DejaVu Sans" w:eastAsia="DejaVu Sans"/>
          <w:b/>
          <w:i w:val="0"/>
          <w:color w:val="000000"/>
          <w:sz w:val="30"/>
        </w:rPr>
        <w:t>Bandwidth Shaping for local users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3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20" w:right="1420" w:bottom="10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rate-limit is set in kbit/sec.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5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outside-address 192.0.2.2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client-ip-pool start 192.168.255.2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client-ip-pool stop 192.168.255.254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authentication mode local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authentication local-users username test password test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authentication local-users username test rate-limit download 20480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local-users username test rate-limit upload 10240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17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vyos@vyos:~$ show l2tp-server sessions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ifname | username |      ip       | ip6 | ip6-dp | calling-sid | rate-limit | state  |  uptime  | rx-bytes | tx-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bytes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--------+----------+---------------+-----+--------+-------------+------------+--------+----------+----------+----------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l2tp0  | test     | 192.168.255.3 |     |        | 192.168.0.36 |            | active | 02:01:47 | 7.7 KiB  | 1.2 KiB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RADIUS authentication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4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358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enable RADIUS based authentication, the authentication mode needs to be changed within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configuration. Previous settings like the local users, still exists within the configuration,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however they are not used if the mode has been changed from local to radius. Once changed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back to local, it will use all local accounts again.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mode &lt;local|radius&gt;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Since the RADIUS server would be a single point of failure, multiple RADIUS servers can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setup and will be used subsequentially.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vpn l2tp remote-access authentication radius server 10.0.0.1 key 'foo'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radius server 10.0.0.2 key 'foo'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Some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RADIUS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severs use an access control list which allows or denies queries, make sure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2"/>
        </w:trPr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add your VyOS router to the allowed client list.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RADIUS source address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are using OSPF as IGP, always the closest interface connected to the RADIUS server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used. With VyOS 1.2 you can bind all outgoing RADIUS requests to a single source IP e.g.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loopback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radius source-address 10.0.0.3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Above command will use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10.0.0.3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as source IPv4 address for all RADIUS queries on this NAS.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106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source-address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must be configured on one of VyOS interface. Best practice would be 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1.9999999999999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47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6"/>
        </w:trPr>
        <w:tc>
          <w:tcPr>
            <w:tcW w:type="dxa" w:w="63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loopback or dummy interface.</w:t>
            </w:r>
          </w:p>
        </w:tc>
      </w:tr>
    </w:tbl>
    <w:p>
      <w:pPr>
        <w:autoSpaceDN w:val="0"/>
        <w:autoSpaceDE w:val="0"/>
        <w:widowControl/>
        <w:spacing w:line="536" w:lineRule="exact" w:before="0" w:after="358"/>
        <w:ind w:left="182" w:right="1296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RADIUS bandwidth shaping attribute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7" w:history="1">
          <w:r>
            <w:rPr>
              <w:rStyle w:val="Hyperlink"/>
            </w:rPr>
            <w:t></w:t>
          </w:r>
        </w:hyperlink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enable bandwidth shaping via RADIUS, the option rate-limit needs to be enabled.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radius rate-limit enable</w:t>
            </w:r>
          </w:p>
        </w:tc>
      </w:tr>
      <w:tr>
        <w:trPr>
          <w:trHeight w:hRule="exact" w:val="42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default RADIUS attribute for rate limiting 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Filter-Id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, but you may also redefine it.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8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7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vpn l2tp remote-access authentication radius rate-limit attribute Download-Speed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you set a custom RADIUS attribute you must define it on both dictionaries at RADIUS server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32"/>
        </w:trPr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and client, which is the vyos router in our example.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RADIUS dictionaries in VyOS are located at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/usr/share/accel-ppp/radius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20.0" w:type="dxa"/>
            </w:tblPr>
            <w:tblGrid>
              <w:gridCol w:w="8600"/>
            </w:tblGrid>
            <w:tr>
              <w:trPr>
                <w:trHeight w:hRule="exact" w:val="284"/>
              </w:trPr>
              <w:tc>
                <w:tcPr>
                  <w:tcW w:type="dxa" w:w="261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684" w:lineRule="exact" w:before="0" w:after="0"/>
        <w:ind w:left="182" w:right="72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RADIUS advanced features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8" w:history="1">
          <w:r>
            <w:rPr>
              <w:rStyle w:val="Hyperlink"/>
            </w:rPr>
            <w:t></w:t>
          </w:r>
        </w:hyperlink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Received RADIUS attributes have a higher priority than parameters defined within the CLI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configuration, refer to the explanation below.</w:t>
      </w:r>
    </w:p>
    <w:p>
      <w:pPr>
        <w:autoSpaceDN w:val="0"/>
        <w:autoSpaceDE w:val="0"/>
        <w:widowControl/>
        <w:spacing w:line="326" w:lineRule="exact" w:before="360" w:after="332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Allocation clients ip addresses by RADIUS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9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34"/>
        </w:trPr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the RADIUS server sends the attribute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Framed-IP-Address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then this IP address will be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7.9999999999995" w:type="dxa"/>
            </w:tblPr>
            <w:tblGrid>
              <w:gridCol w:w="9120"/>
            </w:tblGrid>
            <w:tr>
              <w:trPr>
                <w:trHeight w:hRule="exact" w:val="300"/>
              </w:trPr>
              <w:tc>
                <w:tcPr>
                  <w:tcW w:type="dxa" w:w="179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allocated to the client and the option ip-pool within the CLI config is being ignored.</w:t>
      </w:r>
    </w:p>
    <w:p>
      <w:pPr>
        <w:autoSpaceDN w:val="0"/>
        <w:autoSpaceDE w:val="0"/>
        <w:widowControl/>
        <w:spacing w:line="326" w:lineRule="exact" w:before="360" w:after="332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Renaming clients interfaces by RADIUS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0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4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the RADIUS server uses the attribute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NAS-Port-Id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, ppp tunnels will be renamed.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67.9999999999995" w:type="dxa"/>
            </w:tblPr>
            <w:tblGrid>
              <w:gridCol w:w="8820"/>
            </w:tblGrid>
            <w:tr>
              <w:trPr>
                <w:trHeight w:hRule="exact" w:val="300"/>
              </w:trPr>
              <w:tc>
                <w:tcPr>
                  <w:tcW w:type="dxa" w:w="11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88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18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value of the attribute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NAS-Port-Id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must be less than 16 characters, otherwise the interface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74.0" w:type="dxa"/>
            </w:tblPr>
            <w:tblGrid>
              <w:gridCol w:w="9720"/>
            </w:tblGrid>
            <w:tr>
              <w:trPr>
                <w:trHeight w:hRule="exact" w:val="300"/>
              </w:trPr>
              <w:tc>
                <w:tcPr>
                  <w:tcW w:type="dxa" w:w="112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9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won’t be renamed.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240" w:bottom="14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configuration/vpn/l2tp.html#l2tp" TargetMode="External"/><Relationship Id="rId10" Type="http://schemas.openxmlformats.org/officeDocument/2006/relationships/hyperlink" Target="https://docs.vyos.io/en/latest/configuration/vpn/l2tp.html#l2tp-over-ipsec" TargetMode="External"/><Relationship Id="rId11" Type="http://schemas.openxmlformats.org/officeDocument/2006/relationships/hyperlink" Target="https://docs.vyos.io/en/latest/configuration/vpn/l2tp.html#lns-l2tp-network-server" TargetMode="External"/><Relationship Id="rId12" Type="http://schemas.openxmlformats.org/officeDocument/2006/relationships/hyperlink" Target="https://docs.vyos.io/en/latest/configuration/vpn/l2tp.html#bandwidth-shaping" TargetMode="External"/><Relationship Id="rId13" Type="http://schemas.openxmlformats.org/officeDocument/2006/relationships/hyperlink" Target="https://docs.vyos.io/en/latest/configuration/vpn/l2tp.html#bandwidth-shaping-for-local-users" TargetMode="External"/><Relationship Id="rId14" Type="http://schemas.openxmlformats.org/officeDocument/2006/relationships/hyperlink" Target="https://docs.vyos.io/en/latest/configuration/vpn/l2tp.html#radius-authentication" TargetMode="External"/><Relationship Id="rId15" Type="http://schemas.openxmlformats.org/officeDocument/2006/relationships/hyperlink" Target="https://en.wikipedia.org/wiki/RADIUS" TargetMode="External"/><Relationship Id="rId16" Type="http://schemas.openxmlformats.org/officeDocument/2006/relationships/hyperlink" Target="https://docs.vyos.io/en/latest/configuration/vpn/l2tp.html#radius-source-address" TargetMode="External"/><Relationship Id="rId17" Type="http://schemas.openxmlformats.org/officeDocument/2006/relationships/hyperlink" Target="https://docs.vyos.io/en/latest/configuration/vpn/l2tp.html#radius-bandwidth-shaping-attribute" TargetMode="External"/><Relationship Id="rId18" Type="http://schemas.openxmlformats.org/officeDocument/2006/relationships/hyperlink" Target="https://docs.vyos.io/en/latest/configuration/vpn/l2tp.html#radius-advanced-features" TargetMode="External"/><Relationship Id="rId19" Type="http://schemas.openxmlformats.org/officeDocument/2006/relationships/hyperlink" Target="https://docs.vyos.io/en/latest/configuration/vpn/l2tp.html#allocation-clients-ip-addresses-by-radius" TargetMode="External"/><Relationship Id="rId20" Type="http://schemas.openxmlformats.org/officeDocument/2006/relationships/hyperlink" Target="https://docs.vyos.io/en/latest/configuration/vpn/l2tp.html#renaming-clients-interfaces-by-rad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