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4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 xml:space="preserve">PIM6 - Protocol Independent Multicast </w:t>
            </w: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for IPv6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0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facilitates IPv6 Multicast by supporting </w:t>
            </w: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PIMv6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MLD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PIMv6 (Protocol Independent Multicast for IPv6) must be configured in every interface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0" w:right="0" w:firstLine="0"/>
        <w:jc w:val="center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of every participating router. Every router must also have the location of the Rendevouz </w:t>
      </w:r>
    </w:p>
    <w:p>
      <w:pPr>
        <w:autoSpaceDN w:val="0"/>
        <w:autoSpaceDE w:val="0"/>
        <w:widowControl/>
        <w:spacing w:line="288" w:lineRule="exact" w:before="72" w:after="36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Point manually configured. Then, unidirectional shared trees rooted at the Rendevouz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7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Point will automatically be built for multicast distribution.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Traffic from multicast sources will go to the Rendezvous Point, and receivers will pull it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8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from a shared tree using MLD (Multicast Listener Discovery).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8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Multicast receivers will talk MLD to their local router, so, besides having PIMv6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36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configured in every router, MLD must also be configured in any router where there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7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could be a multicast receiver locally connected.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9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VyOS supports both MLD version 1 and version 2 (which allows source-specific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multicast).</w:t>
      </w:r>
    </w:p>
    <w:p>
      <w:pPr>
        <w:autoSpaceDN w:val="0"/>
        <w:autoSpaceDE w:val="0"/>
        <w:widowControl/>
        <w:spacing w:line="418" w:lineRule="exact" w:before="35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Basic commands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6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These are the commands for a basic setup.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pim6 interface &lt;interface-name&gt;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enable PIMv6 in the selected interface so that it can communicate with </w:t>
      </w:r>
    </w:p>
    <w:p>
      <w:pPr>
        <w:autoSpaceDN w:val="0"/>
        <w:autoSpaceDE w:val="0"/>
        <w:widowControl/>
        <w:spacing w:line="266" w:lineRule="exact" w:before="9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PIMv6 neighbors. This command also enables MLD reports and query on the interface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unless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mld disable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is configured.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8.0000000000001" w:type="dxa"/>
            </w:tblPr>
            <w:tblGrid>
              <w:gridCol w:w="6280"/>
            </w:tblGrid>
            <w:tr>
              <w:trPr>
                <w:trHeight w:hRule="exact" w:val="300"/>
              </w:trPr>
              <w:tc>
                <w:tcPr>
                  <w:tcW w:type="dxa" w:w="113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pim6 interface &lt;interface-name&gt; mld disable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Disable MLD reports and query on the interface.</w:t>
      </w:r>
    </w:p>
    <w:p>
      <w:pPr>
        <w:autoSpaceDN w:val="0"/>
        <w:autoSpaceDE w:val="0"/>
        <w:widowControl/>
        <w:spacing w:line="41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Tuning commands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You can also tune multicast with the following commands.</w:t>
      </w:r>
    </w:p>
    <w:p>
      <w:pPr>
        <w:sectPr>
          <w:pgSz w:w="12240" w:h="15840"/>
          <w:pgMar w:top="720" w:right="1420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pim6 interface &lt;interface-name&gt; mld interval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Use this command to configure in the selected interface the MLD host query interval (1-65535)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 seconds that PIM will use. The default value is 125 seconds.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pim6 interface &lt;interface-name&gt; mld join &lt;multicast-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address&gt;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this command to allow the selected interface to join a multicast group.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pim6 interface &lt;interface-name&gt; mld join &lt;multicast-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address&gt; source &lt;source-address&gt;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Use this command to allow the selected interface to join a source-specific multicast group.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pim6 interface &lt;interface-name&gt; mld last-member-query-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count &lt;count&gt;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MLD last member query count. The default value is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pim6 interface &lt;interface-name&gt; mld last-member-query-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interval &lt;milliseconds&gt;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the MLD last member query interval in milliseconds (100-6553500). The default value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1000 milliseconds.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pim6 interface &lt;interface-name&gt; mld max-response-time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&lt;milliseconds&gt;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Set the MLD query response timeout in milliseconds (100-6553500). The default value is 10000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milliseconds.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pim6 interface &lt;interface-name&gt; mld version &lt;version-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number&gt;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the MLD version used on this interface. The default value is 2.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Configuration Example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enable MLD reports and query on interfaces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eth0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63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pim6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pim6 interface eth1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0" w:right="288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following configuration explicitly joins multicast group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ff15::1234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on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source-specific multicast group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ff15::5678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with source address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2001:db8::1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on 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pim6 interface eth0 mld join ff15::1234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pim6 interface eth1 mld join ff15::5678 source 2001:db8::1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800" w:left="1440" w:header="720" w:footer="720" w:gutter="0"/>
          <w:cols/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