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RIP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RIP is a widely deployed interior gateway protocol. RIP was developed in the 1970s at </w:t>
            </w:r>
          </w:p>
        </w:tc>
      </w:tr>
    </w:tbl>
    <w:p>
      <w:pPr>
        <w:autoSpaceDN w:val="0"/>
        <w:autoSpaceDE w:val="0"/>
        <w:widowControl/>
        <w:spacing w:line="350" w:lineRule="exact" w:before="0" w:after="36"/>
        <w:ind w:left="2" w:right="144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Xerox Labs as part of the XNS routing protocol. RIP is a distance-vector protocol and is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based on the Bellman-Ford algorithms. As a distance-vector protocol, RIP router send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updates to its neighbors periodically, thus allowing the convergence to a known 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topology. In each update, the distance to any given network will be broadcast to its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7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neighboring router.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554"/>
        </w:trPr>
        <w:tc>
          <w:tcPr>
            <w:tcW w:type="dxa" w:w="708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Supported versions of RIP are:</w:t>
            </w:r>
          </w:p>
        </w:tc>
      </w:tr>
      <w:tr>
        <w:trPr>
          <w:trHeight w:hRule="exact" w:val="540"/>
        </w:trPr>
        <w:tc>
          <w:tcPr>
            <w:tcW w:type="dxa" w:w="1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1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57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6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RIPv1 as described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1058</w:t>
            </w:r>
          </w:p>
        </w:tc>
      </w:tr>
      <w:tr>
        <w:trPr>
          <w:trHeight w:hRule="exact" w:val="320"/>
        </w:trPr>
        <w:tc>
          <w:tcPr>
            <w:tcW w:type="dxa" w:w="1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57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2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RIPv2 as described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2453</w:t>
            </w:r>
          </w:p>
        </w:tc>
      </w:tr>
      <w:tr>
        <w:trPr>
          <w:trHeight w:hRule="exact" w:val="488"/>
        </w:trPr>
        <w:tc>
          <w:tcPr>
            <w:tcW w:type="dxa" w:w="7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1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36"/>
              </w:rPr>
              <w:t>General Configuration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network &lt;A.B.C.D/M&gt;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enables RIP and sets the RIP enable interface by NETWORK. The interfaces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which have addresses matching with NETWORK are enabled.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interface &lt;interface&gt;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a RIP enabled interface by interface name. Both the sending and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receiving of RIP packets will be enabled on the port specified in this command.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neighbor &lt;A.B.C.D&gt;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a RIP neighbor. When a neighbor doesn’t understand multicast,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command is used to specify neighbors. In some cases, not all routers will be able to understand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multicasting, where packets are sent to a network or a group of addresses. In a situation where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neighbor cannot process multicast packets, it is necessary to establish a direct link between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routers.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passive-interface interface &lt;interface&gt;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the specified interface to passive mode. On passive mode interface, all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receiving packets are processed as normal and VyOS does not send either multicast or unicast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RIP packets except to RIP neighbors specified with neighbor command.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passive-interface interface default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8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522" w:lineRule="exact" w:before="0" w:after="360"/>
        <w:ind w:left="2" w:right="41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all interfaces to passive mode. </w:t>
      </w:r>
      <w:r>
        <w:rPr>
          <w:rFonts w:ascii="DejaVu Sans" w:hAnsi="DejaVu Sans" w:eastAsia="DejaVu Sans"/>
          <w:b/>
          <w:i w:val="0"/>
          <w:color w:val="000000"/>
          <w:sz w:val="36"/>
        </w:rPr>
        <w:t>Optional Configuration</w:t>
      </w:r>
      <w:r>
        <w:rPr>
          <w:rFonts w:ascii="OpenSymbol" w:hAnsi="OpenSymbol" w:eastAsia="OpenSymbol"/>
          <w:b w:val="0"/>
          <w:i w:val="0"/>
          <w:color w:val="297FB9"/>
          <w:sz w:val="21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6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default-distance &lt;distance&gt;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change the distance value of RIP. The distance range is 1 to 255.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560"/>
      </w:tblGrid>
      <w:tr>
        <w:trPr>
          <w:trHeight w:hRule="exact" w:val="280"/>
        </w:trPr>
        <w:tc>
          <w:tcPr>
            <w:tcW w:type="dxa" w:w="936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6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Routes with a distance of 255 are effectively disabled and not installed into the kernel.</w:t>
            </w:r>
          </w:p>
        </w:tc>
      </w:tr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network-distance &lt;A.B.C.D/M&gt; distance &lt;distance&gt;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default RIP distance to a specified value when the routes source IP address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matches the specified prefix.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6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network-distance &lt;A.B.C.D/M&gt; access-list &lt;name&gt;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can be used with previous command to sets default RIP distance to specified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 when the route source IP address matches the specified prefix and the specified access-list.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6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default-information originate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generate a default route into the RIP.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6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distribute-list access-list &lt;in|out&gt; &lt;number&gt;</w:t>
            </w:r>
          </w:p>
        </w:tc>
      </w:tr>
      <w:tr>
        <w:trPr>
          <w:trHeight w:hRule="exact" w:val="410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command can be used to filter the RIP path using access lists.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out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this is the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74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25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21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39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direction in which the access lists are applied.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6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distribute-list interface &lt;interface&gt; access-list &lt;in|out&gt;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&lt;number&gt;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allows you apply access lists to a chosen interface to filter the RIP path.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6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distribute-list prefix-list &lt;in|out&gt; &lt;name&gt;</w:t>
            </w:r>
          </w:p>
        </w:tc>
      </w:tr>
      <w:tr>
        <w:trPr>
          <w:trHeight w:hRule="exact" w:val="408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command can be used to filter the RIP path using prefix lists.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out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this is the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34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25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17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39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direction in which the prefix lists are applied.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6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distribute-list interface &lt;interface&gt; prefix-list &lt;in|out&gt;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&lt;name&gt;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allows you apply prefix lists to a chosen interface to filter the RIP path.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60"/>
      </w:tblGrid>
      <w:tr>
        <w:trPr>
          <w:trHeight w:hRule="exact" w:val="23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route &lt;A.B.C.D/M&gt;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10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28" w:lineRule="exact" w:before="0" w:after="16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is specific to FRR and VyOS. The route command makes a static route only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inside RIP. This command should be used only by advanced users who are particularly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knowledgeable about the RIP protocol. In most cases, we recommend creating a static route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7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VyOS and redistributing it in RIP using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redistribute static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82.0000000000005" w:type="dxa"/>
            </w:tblPr>
            <w:tblGrid>
              <w:gridCol w:w="7500"/>
            </w:tblGrid>
            <w:tr>
              <w:trPr>
                <w:trHeight w:hRule="exact" w:val="300"/>
              </w:trPr>
              <w:tc>
                <w:tcPr>
                  <w:tcW w:type="dxa" w:w="169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timers update 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the update timer. Every update timer seconds, the RIP process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awakened to send an unsolicited response message containing the complete routing table to all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neighboring RIP routers. The time range is 5 to 2147483647. The default value is 30 seconds.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timers timeout 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the timeout timer. Upon expiration of the timeout, the route is no longer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valid; however, it is retained in the routing table for a short time so that neighbors can be notified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that the route has been dropped. The time range is 5 to 2147483647. The default value is 180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seconds.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timers garbage-collection 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the garbage-collection timer. Upon expiration of the garbage-collection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timer, the route is finally removed from the routing table. The time range is 5 to 2147483647.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default value is 120 seconds.</w:t>
      </w:r>
    </w:p>
    <w:p>
      <w:pPr>
        <w:autoSpaceDN w:val="0"/>
        <w:autoSpaceDE w:val="0"/>
        <w:widowControl/>
        <w:spacing w:line="418" w:lineRule="exact" w:before="360" w:after="362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Redistribution Configuration</w:t>
      </w:r>
      <w:r>
        <w:rPr>
          <w:rFonts w:ascii="OpenSymbol" w:hAnsi="OpenSymbol" w:eastAsia="OpenSymbol"/>
          <w:b w:val="0"/>
          <w:i w:val="0"/>
          <w:color w:val="297FB9"/>
          <w:sz w:val="21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redistribute &lt;route source&gt;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redistributes routing information from the given route source into the RIP tables.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There are five modes available for route source: bgp, connected, kernel, ospf, static.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redistribute &lt;route source&gt; metric &lt;metric&gt;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metric for redistributed routes from the given route source. There are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five modes available for route source: bgp, connected, kernel, ospf, static. The metric range is 1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16.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redistribute &lt;route source&gt; route-map &lt;name&gt;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allows to use route map to filter redistributed routes from the given route source.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There are five modes available for route source: bgp, connected, kernel, ospf, static.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rip default-metric &lt;metric&gt;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8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16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modifies the default metric (hop count) value for redistributed routes. The metric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range is 1 to 16. The default value is 1. This command does not affect connected route even if it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64"/>
        </w:trPr>
        <w:tc>
          <w:tcPr>
            <w:tcW w:type="dxa" w:w="9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is redistributed by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redistribute connected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. To modify connected routes metric value, please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02.0" w:type="dxa"/>
            </w:tblPr>
            <w:tblGrid>
              <w:gridCol w:w="9080"/>
            </w:tblGrid>
            <w:tr>
              <w:trPr>
                <w:trHeight w:hRule="exact" w:val="320"/>
              </w:trPr>
              <w:tc>
                <w:tcPr>
                  <w:tcW w:type="dxa" w:w="214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use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redistribute connected metric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8.0000000000001" w:type="dxa"/>
            </w:tblPr>
            <w:tblGrid>
              <w:gridCol w:w="9080"/>
            </w:tblGrid>
            <w:tr>
              <w:trPr>
                <w:trHeight w:hRule="exact" w:val="300"/>
              </w:trPr>
              <w:tc>
                <w:tcPr>
                  <w:tcW w:type="dxa" w:w="277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18" w:lineRule="exact" w:before="300" w:after="36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Interfaces Configuration</w:t>
      </w:r>
      <w:r>
        <w:rPr>
          <w:rFonts w:ascii="OpenSymbol" w:hAnsi="OpenSymbol" w:eastAsia="OpenSymbol"/>
          <w:b w:val="0"/>
          <w:i w:val="0"/>
          <w:color w:val="297FB9"/>
          <w:sz w:val="21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&lt;inttype&gt; &lt;intname&gt; ip rip authentication plaintext-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password &lt;text&gt;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the interface with RIP simple password authentication. This command also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sets authentication string. The string must be shorter than 16 characters.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&lt;inttype&gt; &lt;intname&gt; ip rip authentication md5 &lt;id&gt;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password &lt;text&gt;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the interface with RIP MD5 authentication. This command also sets MD5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Key. The key must be shorter than 16 characters.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&lt;inttype&gt; &lt;intname&gt; ip rip split-horizon disable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disables split-horizon on the interface. By default, VyOS does not advertise RIP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routes out the interface over which they were learned (split horizon).3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interfaces &lt;inttype&gt; &lt;intname&gt; ip rip split-horizon poison-reverse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enables poison-reverse on the interface. If both poison reverse and split horizon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are enabled, then VyOS advertises the learned routes as unreachable over the interface on which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route was learned.</w:t>
      </w:r>
    </w:p>
    <w:p>
      <w:pPr>
        <w:autoSpaceDN w:val="0"/>
        <w:autoSpaceDE w:val="0"/>
        <w:widowControl/>
        <w:spacing w:line="418" w:lineRule="exact" w:before="360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Operational Mode Commands</w:t>
      </w:r>
      <w:r>
        <w:rPr>
          <w:rFonts w:ascii="OpenSymbol" w:hAnsi="OpenSymbol" w:eastAsia="OpenSymbol"/>
          <w:b w:val="0"/>
          <w:i w:val="0"/>
          <w:color w:val="297FB9"/>
          <w:sz w:val="21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 rip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RIP routes.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0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8" w:val="left"/>
              </w:tabs>
              <w:autoSpaceDE w:val="0"/>
              <w:widowControl/>
              <w:spacing w:line="210" w:lineRule="exact" w:before="0" w:after="0"/>
              <w:ind w:left="2" w:right="40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Codes: R - RIP, C - connected, S - Static, O - OSPF, B - BGP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Sub-codes: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(n) - normal, (s) - static, (d) - default, (r) - redistribute,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(i) - interface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0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3456" w:firstLine="228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Network            Next Hop         Metric From            Tag Time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C(i) 10.0.12.0/24       0.0.0.0               1 self              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C(i) 10.0.13.0/24       0.0.0.0               1 self              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R(n) 10.0.23.0/24       10.0.12.2             2 10.0.12.2         0 02:53</w:t>
            </w:r>
          </w:p>
        </w:tc>
      </w:tr>
      <w:tr>
        <w:trPr>
          <w:trHeight w:hRule="exact" w:val="23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 rip status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8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command displays current RIP status. It includes RIP timer, filtering, version, RIP enabled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interface and RIP peer 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77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  <w:tab w:pos="174" w:val="left"/>
              </w:tabs>
              <w:autoSpaceDE w:val="0"/>
              <w:widowControl/>
              <w:spacing w:line="210" w:lineRule="exact" w:before="0" w:after="0"/>
              <w:ind w:left="2" w:right="259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Routing Protocol is "rip"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Sending updates every 30 seconds with +/-50%, next due in 11 seconds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Timeout after 180 seconds, garbage collect after 120 seconds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Outgoing update filter list for all interface is not set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Incoming update filter list for all interface is not set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Default redistribution metric is 1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Redistributing: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Default version control: send version 2, receive any version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Interface        Send  Recv   Key-chain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eth0             2     1 2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eth2             2     1 2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Routing for Networks: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10.0.12.0/24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eth0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Routing Information Sources: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Gateway          BadPackets BadRoutes  Distance Last Update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10.0.12.2                0         0       120   00:00:11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Distance: (default is 120)</w:t>
            </w:r>
          </w:p>
        </w:tc>
      </w:tr>
    </w:tbl>
    <w:p>
      <w:pPr>
        <w:autoSpaceDN w:val="0"/>
        <w:autoSpaceDE w:val="0"/>
        <w:widowControl/>
        <w:spacing w:line="418" w:lineRule="exact" w:before="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Configuration Example</w:t>
      </w:r>
      <w:r>
        <w:rPr>
          <w:rFonts w:ascii="OpenSymbol" w:hAnsi="OpenSymbol" w:eastAsia="OpenSymbol"/>
          <w:b w:val="0"/>
          <w:i w:val="0"/>
          <w:color w:val="297FB9"/>
          <w:sz w:val="21"/>
        </w:rPr>
        <w:t></w:t>
      </w:r>
    </w:p>
    <w:p>
      <w:pPr>
        <w:autoSpaceDN w:val="0"/>
        <w:autoSpaceDE w:val="0"/>
        <w:widowControl/>
        <w:spacing w:line="266" w:lineRule="exact" w:before="45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Simple RIP configuration using 2 nodes and redistributing connected interfaces.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1: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32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loopback address 10.1.1.1/32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rip network 192.168.0.0/24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rip redistribute connected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2: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32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loopback address 10.2.2.2/32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rip network 192.168.0.0/24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rip redistribute connected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66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