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drawing>
          <wp:inline xmlns:a="http://schemas.openxmlformats.org/drawingml/2006/main" xmlns:pic="http://schemas.openxmlformats.org/drawingml/2006/picture">
            <wp:extent cx="1193608" cy="413999"/>
            <wp:docPr id="1" name="Picture 1"/>
            <wp:cNvGraphicFramePr>
              <a:graphicFrameLocks noChangeAspect="1"/>
            </wp:cNvGraphicFramePr>
            <a:graphic>
              <a:graphicData uri="http://schemas.openxmlformats.org/drawingml/2006/picture">
                <pic:pic>
                  <pic:nvPicPr>
                    <pic:cNvPr id="0" name="smc_logo.png"/>
                    <pic:cNvPicPr/>
                  </pic:nvPicPr>
                  <pic:blipFill>
                    <a:blip r:embed="rId9"/>
                    <a:stretch>
                      <a:fillRect/>
                    </a:stretch>
                  </pic:blipFill>
                  <pic:spPr>
                    <a:xfrm>
                      <a:off x="0" y="0"/>
                      <a:ext cx="1193608" cy="413999"/>
                    </a:xfrm>
                    <a:prstGeom prst="rect"/>
                  </pic:spPr>
                </pic:pic>
              </a:graphicData>
            </a:graphic>
          </wp:inline>
        </w:drawing>
      </w:r>
    </w:p>
    <w:tbl>
      <w:tblPr>
        <w:tblW w:type="auto" w:w="0"/>
        <w:jc w:val="center"/>
        <w:tblBorders>
          <w:top w:val="none" w:sz="0" w:space="0"/>
          <w:left w:val="none" w:sz="0" w:space="0"/>
          <w:bottom w:val="none" w:sz="0" w:space="0"/>
          <w:right w:val="none" w:sz="0" w:space="0"/>
          <w:insideH w:val="none" w:sz="0" w:space="0"/>
          <w:insideV w:val="none" w:sz="0" w:space="0"/>
        </w:tblBorders>
        <w:tblLayout w:type="fixed"/>
        <w:tblLook w:firstColumn="1" w:firstRow="1" w:lastColumn="0" w:lastRow="0" w:noHBand="0" w:noVBand="1" w:val="04A0"/>
      </w:tblPr>
      <w:tblGrid>
        <w:gridCol w:w="2691"/>
        <w:gridCol w:w="2691"/>
        <w:gridCol w:w="2691"/>
        <w:gridCol w:w="2691"/>
      </w:tblGrid>
      <w:tr>
        <w:tc>
          <w:tcPr>
            <w:tcW w:type="dxa" w:w="10432"/>
            <w:gridSpan w:val="4"/>
            <w:shd w:val="clear" w:color="auto" w:fill="0F2B54"/>
            <w:tcMar>
              <w:top w:w="40" w:type="dxa"/>
              <w:left w:w="80" w:type="dxa"/>
              <w:bottom w:w="40" w:type="dxa"/>
              <w:right w:w="80" w:type="dxa"/>
            </w:tcMar>
          </w:tcPr>
          <w:p>
            <w:pPr>
              <w:spacing w:after="0" w:before="120"/>
              <w:jc w:val="center"/>
            </w:pPr>
            <w:r>
              <w:rPr>
                <w:rFonts w:ascii="Calibri" w:hAnsi="Calibri" w:eastAsia="Calibri"/>
                <w:b/>
                <w:i w:val="0"/>
                <w:color w:val="9EC3EE"/>
                <w:sz w:val="16"/>
              </w:rPr>
              <w:t>F A C T S H E E T</w:t>
            </w:r>
          </w:p>
        </w:tc>
      </w:tr>
      <w:tr>
        <w:tc>
          <w:tcPr>
            <w:tcW w:type="dxa" w:w="10432"/>
            <w:gridSpan w:val="4"/>
            <w:shd w:val="clear" w:color="auto" w:fill="0F2B54"/>
            <w:tcMar>
              <w:top w:w="40" w:type="dxa"/>
              <w:left w:w="80" w:type="dxa"/>
              <w:bottom w:w="40" w:type="dxa"/>
              <w:right w:w="80" w:type="dxa"/>
            </w:tcMar>
          </w:tcPr>
          <w:p>
            <w:pPr>
              <w:spacing w:after="0" w:before="0"/>
              <w:jc w:val="center"/>
            </w:pPr>
            <w:r>
              <w:rPr>
                <w:rFonts w:ascii="Calibri" w:hAnsi="Calibri" w:eastAsia="Calibri"/>
                <w:b/>
                <w:i w:val="0"/>
                <w:color w:val="FFFFFF"/>
                <w:sz w:val="44"/>
              </w:rPr>
              <w:t>SQE SmallCase Terminal</w:t>
            </w:r>
          </w:p>
        </w:tc>
      </w:tr>
      <w:tr>
        <w:tc>
          <w:tcPr>
            <w:tcW w:type="dxa" w:w="10432"/>
            <w:gridSpan w:val="4"/>
            <w:shd w:val="clear" w:color="auto" w:fill="0F2B54"/>
            <w:tcMar>
              <w:top w:w="40" w:type="dxa"/>
              <w:left w:w="80" w:type="dxa"/>
              <w:bottom w:w="40" w:type="dxa"/>
              <w:right w:w="80" w:type="dxa"/>
            </w:tcMar>
          </w:tcPr>
          <w:p>
            <w:pPr>
              <w:spacing w:after="160" w:before="0"/>
              <w:jc w:val="center"/>
            </w:pPr>
            <w:r>
              <w:rPr>
                <w:rFonts w:ascii="Calibri" w:hAnsi="Calibri" w:eastAsia="Calibri"/>
                <w:b w:val="0"/>
                <w:i w:val="0"/>
                <w:color w:val="C7DCF5"/>
                <w:sz w:val="22"/>
              </w:rPr>
              <w:t>SMC Quant Equity — All Indices Portfolio</w:t>
            </w:r>
          </w:p>
        </w:tc>
      </w:tr>
      <w:tr>
        <w:tc>
          <w:tcPr>
            <w:tcW w:type="dxa" w:w="2608"/>
            <w:shd w:val="clear" w:color="auto" w:fill="0F2B54"/>
            <w:tcMar>
              <w:top w:w="40" w:type="dxa"/>
              <w:left w:w="80" w:type="dxa"/>
              <w:bottom w:w="40" w:type="dxa"/>
              <w:right w:w="80" w:type="dxa"/>
            </w:tcMar>
          </w:tcPr>
          <w:p>
            <w:pPr>
              <w:spacing w:after="0" w:before="0"/>
              <w:jc w:val="center"/>
            </w:pPr>
            <w:r>
              <w:rPr>
                <w:rFonts w:ascii="Calibri" w:hAnsi="Calibri" w:eastAsia="Calibri"/>
                <w:b/>
                <w:i w:val="0"/>
                <w:color w:val="4ADE80"/>
                <w:sz w:val="30"/>
              </w:rPr>
              <w:t>42.09%</w:t>
            </w:r>
          </w:p>
        </w:tc>
        <w:tc>
          <w:tcPr>
            <w:tcW w:type="dxa" w:w="2608"/>
            <w:shd w:val="clear" w:color="auto" w:fill="0F2B54"/>
            <w:tcMar>
              <w:top w:w="40" w:type="dxa"/>
              <w:left w:w="80" w:type="dxa"/>
              <w:bottom w:w="40" w:type="dxa"/>
              <w:right w:w="80" w:type="dxa"/>
            </w:tcMar>
          </w:tcPr>
          <w:p>
            <w:pPr>
              <w:spacing w:after="0" w:before="0"/>
              <w:jc w:val="center"/>
            </w:pPr>
            <w:r>
              <w:rPr>
                <w:rFonts w:ascii="Calibri" w:hAnsi="Calibri" w:eastAsia="Calibri"/>
                <w:b/>
                <w:i w:val="0"/>
                <w:color w:val="4ADE80"/>
                <w:sz w:val="30"/>
              </w:rPr>
              <w:t>940.3%</w:t>
            </w:r>
          </w:p>
        </w:tc>
        <w:tc>
          <w:tcPr>
            <w:tcW w:type="dxa" w:w="2608"/>
            <w:shd w:val="clear" w:color="auto" w:fill="0F2B54"/>
            <w:tcMar>
              <w:top w:w="40" w:type="dxa"/>
              <w:left w:w="80" w:type="dxa"/>
              <w:bottom w:w="40" w:type="dxa"/>
              <w:right w:w="80" w:type="dxa"/>
            </w:tcMar>
          </w:tcPr>
          <w:p>
            <w:pPr>
              <w:spacing w:after="0" w:before="0"/>
              <w:jc w:val="center"/>
            </w:pPr>
            <w:r>
              <w:rPr>
                <w:rFonts w:ascii="Calibri" w:hAnsi="Calibri" w:eastAsia="Calibri"/>
                <w:b/>
                <w:i w:val="0"/>
                <w:color w:val="FFFFFF"/>
                <w:sz w:val="22"/>
              </w:rPr>
              <w:t>High Volatility</w:t>
            </w:r>
          </w:p>
        </w:tc>
        <w:tc>
          <w:tcPr>
            <w:tcW w:type="dxa" w:w="2608"/>
            <w:shd w:val="clear" w:color="auto" w:fill="0F2B54"/>
            <w:tcMar>
              <w:top w:w="40" w:type="dxa"/>
              <w:left w:w="80" w:type="dxa"/>
              <w:bottom w:w="40" w:type="dxa"/>
              <w:right w:w="80" w:type="dxa"/>
            </w:tcMar>
          </w:tcPr>
          <w:p>
            <w:pPr>
              <w:spacing w:after="0" w:before="0"/>
              <w:jc w:val="center"/>
            </w:pPr>
            <w:r>
              <w:rPr>
                <w:rFonts w:ascii="Calibri" w:hAnsi="Calibri" w:eastAsia="Calibri"/>
                <w:b/>
                <w:i w:val="0"/>
                <w:color w:val="FFFFFF"/>
                <w:sz w:val="22"/>
              </w:rPr>
              <w:t>Long Term</w:t>
            </w:r>
          </w:p>
        </w:tc>
      </w:tr>
      <w:tr>
        <w:tc>
          <w:tcPr>
            <w:tcW w:type="dxa" w:w="2608"/>
            <w:shd w:val="clear" w:color="auto" w:fill="0F2B54"/>
            <w:tcMar>
              <w:top w:w="40" w:type="dxa"/>
              <w:left w:w="80" w:type="dxa"/>
              <w:bottom w:w="40" w:type="dxa"/>
              <w:right w:w="80" w:type="dxa"/>
            </w:tcMar>
          </w:tcPr>
          <w:p>
            <w:pPr>
              <w:spacing w:after="0" w:before="0"/>
              <w:jc w:val="center"/>
            </w:pPr>
            <w:r>
              <w:rPr>
                <w:rFonts w:ascii="Calibri" w:hAnsi="Calibri" w:eastAsia="Calibri"/>
                <w:b w:val="0"/>
                <w:i w:val="0"/>
                <w:color w:val="A9C6E8"/>
                <w:sz w:val="16"/>
              </w:rPr>
              <w:t>CAGR</w:t>
            </w:r>
          </w:p>
        </w:tc>
        <w:tc>
          <w:tcPr>
            <w:tcW w:type="dxa" w:w="2608"/>
            <w:shd w:val="clear" w:color="auto" w:fill="0F2B54"/>
            <w:tcMar>
              <w:top w:w="40" w:type="dxa"/>
              <w:left w:w="80" w:type="dxa"/>
              <w:bottom w:w="40" w:type="dxa"/>
              <w:right w:w="80" w:type="dxa"/>
            </w:tcMar>
          </w:tcPr>
          <w:p>
            <w:pPr>
              <w:spacing w:after="0" w:before="0"/>
              <w:jc w:val="center"/>
            </w:pPr>
            <w:r>
              <w:rPr>
                <w:rFonts w:ascii="Calibri" w:hAnsi="Calibri" w:eastAsia="Calibri"/>
                <w:b w:val="0"/>
                <w:i w:val="0"/>
                <w:color w:val="A9C6E8"/>
                <w:sz w:val="16"/>
              </w:rPr>
              <w:t>Total Return</w:t>
            </w:r>
          </w:p>
        </w:tc>
        <w:tc>
          <w:tcPr>
            <w:tcW w:type="dxa" w:w="2608"/>
            <w:shd w:val="clear" w:color="auto" w:fill="0F2B54"/>
            <w:tcMar>
              <w:top w:w="40" w:type="dxa"/>
              <w:left w:w="80" w:type="dxa"/>
              <w:bottom w:w="40" w:type="dxa"/>
              <w:right w:w="80" w:type="dxa"/>
            </w:tcMar>
          </w:tcPr>
          <w:p>
            <w:pPr>
              <w:spacing w:after="0" w:before="0"/>
              <w:jc w:val="center"/>
            </w:pPr>
            <w:r>
              <w:rPr>
                <w:rFonts w:ascii="Calibri" w:hAnsi="Calibri" w:eastAsia="Calibri"/>
                <w:b w:val="0"/>
                <w:i w:val="0"/>
                <w:color w:val="A9C6E8"/>
                <w:sz w:val="16"/>
              </w:rPr>
              <w:t>Risk Level</w:t>
            </w:r>
          </w:p>
        </w:tc>
        <w:tc>
          <w:tcPr>
            <w:tcW w:type="dxa" w:w="2608"/>
            <w:shd w:val="clear" w:color="auto" w:fill="0F2B54"/>
            <w:tcMar>
              <w:top w:w="40" w:type="dxa"/>
              <w:left w:w="80" w:type="dxa"/>
              <w:bottom w:w="40" w:type="dxa"/>
              <w:right w:w="80" w:type="dxa"/>
            </w:tcMar>
          </w:tcPr>
          <w:p>
            <w:pPr>
              <w:spacing w:after="0" w:before="0"/>
              <w:jc w:val="center"/>
            </w:pPr>
            <w:r>
              <w:rPr>
                <w:rFonts w:ascii="Calibri" w:hAnsi="Calibri" w:eastAsia="Calibri"/>
                <w:b w:val="0"/>
                <w:i w:val="0"/>
                <w:color w:val="A9C6E8"/>
                <w:sz w:val="16"/>
              </w:rPr>
              <w:t>Horizon</w:t>
            </w:r>
          </w:p>
        </w:tc>
      </w:tr>
      <w:tr>
        <w:tc>
          <w:tcPr>
            <w:tcW w:type="dxa" w:w="10432"/>
            <w:gridSpan w:val="4"/>
            <w:shd w:val="clear" w:color="auto" w:fill="0F2B54"/>
            <w:tcMar>
              <w:top w:w="40" w:type="dxa"/>
              <w:left w:w="80" w:type="dxa"/>
              <w:bottom w:w="40" w:type="dxa"/>
              <w:right w:w="80" w:type="dxa"/>
            </w:tcMar>
          </w:tcPr>
          <w:p>
            <w:pPr>
              <w:spacing w:after="120" w:before="120"/>
              <w:jc w:val="center"/>
            </w:pPr>
            <w:r>
              <w:rPr>
                <w:rFonts w:ascii="Calibri" w:hAnsi="Calibri" w:eastAsia="Calibri"/>
                <w:b w:val="0"/>
                <w:i w:val="0"/>
                <w:color w:val="9EC3EE"/>
                <w:sz w:val="16"/>
              </w:rPr>
              <w:t>Last updated: August 09, 2026   ·   smcresearch.github.io/SQE-/</w:t>
            </w:r>
          </w:p>
        </w:tc>
      </w:tr>
    </w:tbl>
    <w:p>
      <w:pPr>
        <w:pBdr>
          <w:bottom w:val="single" w:sz="6" w:space="2" w:color="DDE3EF"/>
        </w:pBdr>
        <w:spacing w:before="280" w:after="120"/>
      </w:pPr>
      <w:r>
        <w:rPr>
          <w:rFonts w:ascii="Calibri" w:hAnsi="Calibri"/>
          <w:b/>
          <w:caps/>
          <w:color w:val="0F2B54"/>
          <w:sz w:val="20"/>
        </w:rPr>
        <w:t>PORTFOLIO OVERVIEW</w:t>
      </w:r>
    </w:p>
    <w:tbl>
      <w:tblPr>
        <w:tblW w:type="auto" w:w="0"/>
        <w:jc w:val="center"/>
        <w:tblBorders>
          <w:top w:val="single" w:sz="4" w:color="DDE3EF" w:space="0"/>
          <w:left w:val="single" w:sz="4" w:color="DDE3EF" w:space="0"/>
          <w:bottom w:val="single" w:sz="4" w:color="DDE3EF" w:space="0"/>
          <w:right w:val="single" w:sz="4" w:color="DDE3EF" w:space="0"/>
          <w:insideH w:val="single" w:sz="4" w:color="DDE3EF" w:space="0"/>
          <w:insideV w:val="single" w:sz="4" w:color="DDE3EF" w:space="0"/>
        </w:tblBorders>
        <w:tblLayout w:type="fixed"/>
        <w:tblLook w:firstColumn="1" w:firstRow="1" w:lastColumn="0" w:lastRow="0" w:noHBand="0" w:noVBand="1" w:val="04A0"/>
      </w:tblPr>
      <w:tblGrid>
        <w:gridCol w:w="2691"/>
        <w:gridCol w:w="2691"/>
        <w:gridCol w:w="2691"/>
        <w:gridCol w:w="2691"/>
      </w:tblGrid>
      <w:tr>
        <w:tc>
          <w:tcPr>
            <w:tcW w:type="dxa" w:w="2608"/>
            <w:shd w:val="clear" w:color="auto" w:fill="F3F6FB"/>
            <w:tcMar>
              <w:top w:w="60" w:type="dxa"/>
              <w:left w:w="110" w:type="dxa"/>
              <w:bottom w:w="60" w:type="dxa"/>
              <w:right w:w="110" w:type="dxa"/>
            </w:tcMar>
          </w:tcPr>
          <w:p>
            <w:pPr>
              <w:spacing w:after="0" w:before="0"/>
            </w:pPr>
            <w:r>
              <w:rPr>
                <w:rFonts w:ascii="Calibri" w:hAnsi="Calibri" w:eastAsia="Calibri"/>
                <w:b/>
                <w:i w:val="0"/>
                <w:color w:val="6B7A99"/>
                <w:sz w:val="15"/>
              </w:rPr>
              <w:t>PORTFOLIO TYPE</w:t>
            </w:r>
          </w:p>
          <w:p>
            <w:pPr>
              <w:spacing w:after="0" w:before="0"/>
            </w:pPr>
            <w:r>
              <w:rPr>
                <w:rFonts w:ascii="Calibri" w:hAnsi="Calibri" w:eastAsia="Calibri"/>
                <w:b/>
                <w:i w:val="0"/>
                <w:color w:val="1A1A2E"/>
                <w:sz w:val="22"/>
              </w:rPr>
              <w:t>Thematic / Quant</w:t>
            </w:r>
          </w:p>
        </w:tc>
        <w:tc>
          <w:tcPr>
            <w:tcW w:type="dxa" w:w="2608"/>
            <w:shd w:val="clear" w:color="auto" w:fill="F3F6FB"/>
            <w:tcMar>
              <w:top w:w="60" w:type="dxa"/>
              <w:left w:w="110" w:type="dxa"/>
              <w:bottom w:w="60" w:type="dxa"/>
              <w:right w:w="110" w:type="dxa"/>
            </w:tcMar>
          </w:tcPr>
          <w:p>
            <w:pPr>
              <w:spacing w:after="0" w:before="0"/>
            </w:pPr>
            <w:r>
              <w:rPr>
                <w:rFonts w:ascii="Calibri" w:hAnsi="Calibri" w:eastAsia="Calibri"/>
                <w:b/>
                <w:i w:val="0"/>
                <w:color w:val="6B7A99"/>
                <w:sz w:val="15"/>
              </w:rPr>
              <w:t>CONSTITUENTS</w:t>
            </w:r>
          </w:p>
          <w:p>
            <w:pPr>
              <w:spacing w:after="0" w:before="0"/>
            </w:pPr>
            <w:r>
              <w:rPr>
                <w:rFonts w:ascii="Calibri" w:hAnsi="Calibri" w:eastAsia="Calibri"/>
                <w:b/>
                <w:i w:val="0"/>
                <w:color w:val="1A1A2E"/>
                <w:sz w:val="22"/>
              </w:rPr>
              <w:t>Indian Stocks (NSE)</w:t>
            </w:r>
          </w:p>
        </w:tc>
        <w:tc>
          <w:tcPr>
            <w:tcW w:type="dxa" w:w="2608"/>
            <w:shd w:val="clear" w:color="auto" w:fill="F3F6FB"/>
            <w:tcMar>
              <w:top w:w="60" w:type="dxa"/>
              <w:left w:w="110" w:type="dxa"/>
              <w:bottom w:w="60" w:type="dxa"/>
              <w:right w:w="110" w:type="dxa"/>
            </w:tcMar>
          </w:tcPr>
          <w:p>
            <w:pPr>
              <w:spacing w:after="0" w:before="0"/>
            </w:pPr>
            <w:r>
              <w:rPr>
                <w:rFonts w:ascii="Calibri" w:hAnsi="Calibri" w:eastAsia="Calibri"/>
                <w:b/>
                <w:i w:val="0"/>
                <w:color w:val="6B7A99"/>
                <w:sz w:val="15"/>
              </w:rPr>
              <w:t>ASSET CLASS</w:t>
            </w:r>
          </w:p>
          <w:p>
            <w:pPr>
              <w:spacing w:after="0" w:before="0"/>
            </w:pPr>
            <w:r>
              <w:rPr>
                <w:rFonts w:ascii="Calibri" w:hAnsi="Calibri" w:eastAsia="Calibri"/>
                <w:b/>
                <w:i w:val="0"/>
                <w:color w:val="1A1A2E"/>
                <w:sz w:val="22"/>
              </w:rPr>
              <w:t>Equity Multi Cap</w:t>
            </w:r>
          </w:p>
        </w:tc>
        <w:tc>
          <w:tcPr>
            <w:tcW w:type="dxa" w:w="2608"/>
            <w:shd w:val="clear" w:color="auto" w:fill="F3F6FB"/>
            <w:tcMar>
              <w:top w:w="60" w:type="dxa"/>
              <w:left w:w="110" w:type="dxa"/>
              <w:bottom w:w="60" w:type="dxa"/>
              <w:right w:w="110" w:type="dxa"/>
            </w:tcMar>
          </w:tcPr>
          <w:p>
            <w:pPr>
              <w:spacing w:after="0" w:before="0"/>
            </w:pPr>
            <w:r>
              <w:rPr>
                <w:rFonts w:ascii="Calibri" w:hAnsi="Calibri" w:eastAsia="Calibri"/>
                <w:b/>
                <w:i w:val="0"/>
                <w:color w:val="6B7A99"/>
                <w:sz w:val="15"/>
              </w:rPr>
              <w:t>UNIVERSE</w:t>
            </w:r>
          </w:p>
          <w:p>
            <w:pPr>
              <w:spacing w:after="0" w:before="0"/>
            </w:pPr>
            <w:r>
              <w:rPr>
                <w:rFonts w:ascii="Calibri" w:hAnsi="Calibri" w:eastAsia="Calibri"/>
                <w:b/>
                <w:i w:val="0"/>
                <w:color w:val="1A1A2E"/>
                <w:sz w:val="22"/>
              </w:rPr>
              <w:t>All NSE Indices</w:t>
            </w:r>
          </w:p>
        </w:tc>
      </w:tr>
      <w:tr>
        <w:tc>
          <w:tcPr>
            <w:tcW w:type="dxa" w:w="2608"/>
            <w:shd w:val="clear" w:color="auto" w:fill="F3F6FB"/>
            <w:tcMar>
              <w:top w:w="60" w:type="dxa"/>
              <w:left w:w="110" w:type="dxa"/>
              <w:bottom w:w="60" w:type="dxa"/>
              <w:right w:w="110" w:type="dxa"/>
            </w:tcMar>
          </w:tcPr>
          <w:p>
            <w:pPr>
              <w:spacing w:after="0" w:before="0"/>
            </w:pPr>
            <w:r>
              <w:rPr>
                <w:rFonts w:ascii="Calibri" w:hAnsi="Calibri" w:eastAsia="Calibri"/>
                <w:b/>
                <w:i w:val="0"/>
                <w:color w:val="6B7A99"/>
                <w:sz w:val="15"/>
              </w:rPr>
              <w:t>NO. OF STOCKS</w:t>
            </w:r>
          </w:p>
          <w:p>
            <w:pPr>
              <w:spacing w:after="0" w:before="0"/>
            </w:pPr>
            <w:r>
              <w:rPr>
                <w:rFonts w:ascii="Calibri" w:hAnsi="Calibri" w:eastAsia="Calibri"/>
                <w:b/>
                <w:i w:val="0"/>
                <w:color w:val="1A1A2E"/>
                <w:sz w:val="22"/>
              </w:rPr>
              <w:t>30</w:t>
            </w:r>
          </w:p>
        </w:tc>
        <w:tc>
          <w:tcPr>
            <w:tcW w:type="dxa" w:w="2608"/>
            <w:shd w:val="clear" w:color="auto" w:fill="F3F6FB"/>
            <w:tcMar>
              <w:top w:w="60" w:type="dxa"/>
              <w:left w:w="110" w:type="dxa"/>
              <w:bottom w:w="60" w:type="dxa"/>
              <w:right w:w="110" w:type="dxa"/>
            </w:tcMar>
          </w:tcPr>
          <w:p>
            <w:pPr>
              <w:spacing w:after="0" w:before="0"/>
            </w:pPr>
            <w:r>
              <w:rPr>
                <w:rFonts w:ascii="Calibri" w:hAnsi="Calibri" w:eastAsia="Calibri"/>
                <w:b/>
                <w:i w:val="0"/>
                <w:color w:val="6B7A99"/>
                <w:sz w:val="15"/>
              </w:rPr>
              <w:t>LAUNCH PERIOD</w:t>
            </w:r>
          </w:p>
          <w:p>
            <w:pPr>
              <w:spacing w:after="0" w:before="0"/>
            </w:pPr>
            <w:r>
              <w:rPr>
                <w:rFonts w:ascii="Calibri" w:hAnsi="Calibri" w:eastAsia="Calibri"/>
                <w:b/>
                <w:i w:val="0"/>
                <w:color w:val="1A1A2E"/>
                <w:sz w:val="22"/>
              </w:rPr>
              <w:t>January 2020</w:t>
            </w:r>
          </w:p>
        </w:tc>
        <w:tc>
          <w:tcPr>
            <w:tcW w:type="dxa" w:w="2608"/>
            <w:shd w:val="clear" w:color="auto" w:fill="F3F6FB"/>
            <w:tcMar>
              <w:top w:w="60" w:type="dxa"/>
              <w:left w:w="110" w:type="dxa"/>
              <w:bottom w:w="60" w:type="dxa"/>
              <w:right w:w="110" w:type="dxa"/>
            </w:tcMar>
          </w:tcPr>
          <w:p>
            <w:pPr>
              <w:spacing w:after="0" w:before="0"/>
            </w:pPr>
            <w:r>
              <w:rPr>
                <w:rFonts w:ascii="Calibri" w:hAnsi="Calibri" w:eastAsia="Calibri"/>
                <w:b/>
                <w:i w:val="0"/>
                <w:color w:val="6B7A99"/>
                <w:sz w:val="15"/>
              </w:rPr>
              <w:t>CAGR (PORTFOLIO)</w:t>
            </w:r>
          </w:p>
          <w:p>
            <w:pPr>
              <w:spacing w:after="0" w:before="0"/>
            </w:pPr>
            <w:r>
              <w:rPr>
                <w:rFonts w:ascii="Calibri" w:hAnsi="Calibri" w:eastAsia="Calibri"/>
                <w:b/>
                <w:i w:val="0"/>
                <w:color w:val="16C784"/>
                <w:sz w:val="22"/>
              </w:rPr>
              <w:t>42.09%</w:t>
            </w:r>
          </w:p>
        </w:tc>
        <w:tc>
          <w:tcPr>
            <w:tcW w:type="dxa" w:w="2608"/>
            <w:shd w:val="clear" w:color="auto" w:fill="F3F6FB"/>
            <w:tcMar>
              <w:top w:w="60" w:type="dxa"/>
              <w:left w:w="110" w:type="dxa"/>
              <w:bottom w:w="60" w:type="dxa"/>
              <w:right w:w="110" w:type="dxa"/>
            </w:tcMar>
          </w:tcPr>
          <w:p>
            <w:pPr>
              <w:spacing w:after="0" w:before="0"/>
            </w:pPr>
            <w:r>
              <w:rPr>
                <w:rFonts w:ascii="Calibri" w:hAnsi="Calibri" w:eastAsia="Calibri"/>
                <w:b/>
                <w:i w:val="0"/>
                <w:color w:val="6B7A99"/>
                <w:sz w:val="15"/>
              </w:rPr>
              <w:t>CAGR (NIFTY 500)</w:t>
            </w:r>
          </w:p>
          <w:p>
            <w:pPr>
              <w:spacing w:after="0" w:before="0"/>
            </w:pPr>
            <w:r>
              <w:rPr>
                <w:rFonts w:ascii="Calibri" w:hAnsi="Calibri" w:eastAsia="Calibri"/>
                <w:b/>
                <w:i w:val="0"/>
                <w:color w:val="1565C0"/>
                <w:sz w:val="22"/>
              </w:rPr>
              <w:t>13.79%</w:t>
            </w:r>
          </w:p>
        </w:tc>
      </w:tr>
    </w:tbl>
    <w:p>
      <w:pPr>
        <w:pBdr>
          <w:bottom w:val="single" w:sz="6" w:space="2" w:color="DDE3EF"/>
        </w:pBdr>
        <w:spacing w:before="280" w:after="120"/>
      </w:pPr>
      <w:r>
        <w:rPr>
          <w:rFonts w:ascii="Calibri" w:hAnsi="Calibri"/>
          <w:b/>
          <w:caps/>
          <w:color w:val="0F2B54"/>
          <w:sz w:val="20"/>
        </w:rPr>
        <w:t>PORTFOLIO RATIONALE</w:t>
      </w:r>
    </w:p>
    <w:tbl>
      <w:tblPr>
        <w:tblW w:type="auto" w:w="0"/>
        <w:jc w:val="center"/>
        <w:tblBorders>
          <w:top w:val="single" w:sz="4" w:color="C8D8F0" w:space="0"/>
          <w:left w:val="single" w:sz="4" w:color="C8D8F0" w:space="0"/>
          <w:bottom w:val="single" w:sz="4" w:color="C8D8F0" w:space="0"/>
          <w:right w:val="single" w:sz="4" w:color="C8D8F0" w:space="0"/>
          <w:insideH w:val="single" w:sz="4" w:color="C8D8F0" w:space="0"/>
          <w:insideV w:val="single" w:sz="4" w:color="C8D8F0" w:space="0"/>
        </w:tblBorders>
        <w:tblLayout w:type="fixed"/>
        <w:tblLook w:firstColumn="1" w:firstRow="1" w:lastColumn="0" w:lastRow="0" w:noHBand="0" w:noVBand="1" w:val="04A0"/>
      </w:tblPr>
      <w:tblGrid>
        <w:gridCol w:w="10766"/>
      </w:tblGrid>
      <w:tr>
        <w:tc>
          <w:tcPr>
            <w:tcW w:type="dxa" w:w="10431"/>
            <w:shd w:val="clear" w:color="auto" w:fill="F0F5FF"/>
            <w:tcMar>
              <w:top w:w="140" w:type="dxa"/>
              <w:left w:w="200" w:type="dxa"/>
              <w:bottom w:w="140" w:type="dxa"/>
              <w:right w:w="200" w:type="dxa"/>
            </w:tcMar>
          </w:tcPr>
          <w:p>
            <w:pPr>
              <w:spacing w:after="120"/>
            </w:pPr>
            <w:r>
              <w:rPr>
                <w:rFonts w:ascii="Calibri" w:hAnsi="Calibri"/>
                <w:b/>
                <w:color w:val="0F2B54"/>
                <w:sz w:val="20"/>
              </w:rPr>
              <w:t>SQE (SMC Quant Equity)</w:t>
            </w:r>
            <w:r>
              <w:rPr>
                <w:rFonts w:ascii="Calibri" w:hAnsi="Calibri"/>
                <w:b w:val="0"/>
                <w:color w:val="1A1A2E"/>
                <w:sz w:val="20"/>
              </w:rPr>
              <w:t xml:space="preserve"> is a concentrated, research-backed equity portfolio designed for </w:t>
            </w:r>
            <w:r>
              <w:rPr>
                <w:rFonts w:ascii="Calibri" w:hAnsi="Calibri"/>
                <w:b/>
                <w:color w:val="0F2B54"/>
                <w:sz w:val="20"/>
              </w:rPr>
              <w:t>long-term wealth creation</w:t>
            </w:r>
            <w:r>
              <w:rPr>
                <w:rFonts w:ascii="Calibri" w:hAnsi="Calibri"/>
                <w:b w:val="0"/>
                <w:color w:val="1A1A2E"/>
                <w:sz w:val="20"/>
              </w:rPr>
              <w:t>. It aims to deliver superior risk-adjusted returns by investing in a select basket of high-quality Indian stocks across all major NSE indices.</w:t>
            </w:r>
          </w:p>
          <w:p>
            <w:pPr>
              <w:pStyle w:val="ListBullet"/>
              <w:spacing w:after="60"/>
              <w:ind w:left="397"/>
            </w:pPr>
            <w:r>
              <w:rPr>
                <w:rFonts w:ascii="Calibri" w:hAnsi="Calibri"/>
                <w:b w:val="0"/>
                <w:color w:val="1A1A2E"/>
                <w:sz w:val="19"/>
              </w:rPr>
              <w:t xml:space="preserve">Stocks are selected using a </w:t>
            </w:r>
            <w:r>
              <w:rPr>
                <w:rFonts w:ascii="Calibri" w:hAnsi="Calibri"/>
                <w:b/>
                <w:color w:val="0F2B54"/>
                <w:sz w:val="19"/>
              </w:rPr>
              <w:t>proprietary quantitative model</w:t>
            </w:r>
            <w:r>
              <w:rPr>
                <w:rFonts w:ascii="Calibri" w:hAnsi="Calibri"/>
                <w:b w:val="0"/>
                <w:color w:val="1A1A2E"/>
                <w:sz w:val="19"/>
              </w:rPr>
              <w:t xml:space="preserve"> developed by SMC Research that evaluates each stock’s risk-return profile relative to the broader market</w:t>
            </w:r>
          </w:p>
          <w:p>
            <w:pPr>
              <w:pStyle w:val="ListBullet"/>
              <w:spacing w:after="60"/>
              <w:ind w:left="397"/>
            </w:pPr>
            <w:r>
              <w:rPr>
                <w:rFonts w:ascii="Calibri" w:hAnsi="Calibri"/>
                <w:b w:val="0"/>
                <w:color w:val="1A1A2E"/>
                <w:sz w:val="19"/>
              </w:rPr>
              <w:t xml:space="preserve">The portfolio holds </w:t>
            </w:r>
            <w:r>
              <w:rPr>
                <w:rFonts w:ascii="Calibri" w:hAnsi="Calibri"/>
                <w:b/>
                <w:color w:val="0F2B54"/>
                <w:sz w:val="19"/>
              </w:rPr>
              <w:t>30 high-conviction positions</w:t>
            </w:r>
            <w:r>
              <w:rPr>
                <w:rFonts w:ascii="Calibri" w:hAnsi="Calibri"/>
                <w:b w:val="0"/>
                <w:color w:val="1A1A2E"/>
                <w:sz w:val="19"/>
              </w:rPr>
              <w:t xml:space="preserve"> drawn from the full universe of NSE-listed companies — large, mid and small cap — with individual position sizes capped at </w:t>
            </w:r>
            <w:r>
              <w:rPr>
                <w:rFonts w:ascii="Calibri" w:hAnsi="Calibri"/>
                <w:b/>
                <w:color w:val="0F2B54"/>
                <w:sz w:val="19"/>
              </w:rPr>
              <w:t>10%</w:t>
            </w:r>
            <w:r>
              <w:rPr>
                <w:rFonts w:ascii="Calibri" w:hAnsi="Calibri"/>
                <w:b w:val="0"/>
                <w:color w:val="1A1A2E"/>
                <w:sz w:val="19"/>
              </w:rPr>
              <w:t xml:space="preserve"> to control single-stock risk</w:t>
            </w:r>
          </w:p>
          <w:p>
            <w:pPr>
              <w:pStyle w:val="ListBullet"/>
              <w:spacing w:after="60"/>
              <w:ind w:left="397"/>
            </w:pPr>
            <w:r>
              <w:rPr>
                <w:rFonts w:ascii="Calibri" w:hAnsi="Calibri"/>
                <w:b w:val="0"/>
                <w:color w:val="1A1A2E"/>
                <w:sz w:val="19"/>
              </w:rPr>
              <w:t xml:space="preserve">Every month, the portfolio is </w:t>
            </w:r>
            <w:r>
              <w:rPr>
                <w:rFonts w:ascii="Calibri" w:hAnsi="Calibri"/>
                <w:b/>
                <w:color w:val="0F2B54"/>
                <w:sz w:val="19"/>
              </w:rPr>
              <w:t>systematically rebalanced</w:t>
            </w:r>
            <w:r>
              <w:rPr>
                <w:rFonts w:ascii="Calibri" w:hAnsi="Calibri"/>
                <w:b w:val="0"/>
                <w:color w:val="1A1A2E"/>
                <w:sz w:val="19"/>
              </w:rPr>
              <w:t xml:space="preserve"> to capture new opportunities and manage risk — there is no discretionary or emotional decision-making</w:t>
            </w:r>
          </w:p>
          <w:p>
            <w:pPr>
              <w:pStyle w:val="ListBullet"/>
              <w:spacing w:after="60"/>
              <w:ind w:left="397"/>
            </w:pPr>
            <w:r>
              <w:rPr>
                <w:rFonts w:ascii="Calibri" w:hAnsi="Calibri"/>
                <w:b w:val="0"/>
                <w:color w:val="1A1A2E"/>
                <w:sz w:val="19"/>
              </w:rPr>
              <w:t xml:space="preserve">The model has consistently generated </w:t>
            </w:r>
            <w:r>
              <w:rPr>
                <w:rFonts w:ascii="Calibri" w:hAnsi="Calibri"/>
                <w:b/>
                <w:color w:val="0F2B54"/>
                <w:sz w:val="19"/>
              </w:rPr>
              <w:t>alpha over the Nifty 500 benchmark</w:t>
            </w:r>
            <w:r>
              <w:rPr>
                <w:rFonts w:ascii="Calibri" w:hAnsi="Calibri"/>
                <w:b w:val="0"/>
                <w:color w:val="1A1A2E"/>
                <w:sz w:val="19"/>
              </w:rPr>
              <w:t xml:space="preserve"> since inception, with a disciplined focus on both upside capture and downside protection</w:t>
            </w:r>
          </w:p>
        </w:tc>
      </w:tr>
    </w:tbl>
    <w:p>
      <w:pPr>
        <w:pBdr>
          <w:bottom w:val="single" w:sz="6" w:space="2" w:color="DDE3EF"/>
        </w:pBdr>
        <w:spacing w:before="280" w:after="120"/>
      </w:pPr>
      <w:r>
        <w:rPr>
          <w:rFonts w:ascii="Calibri" w:hAnsi="Calibri"/>
          <w:b/>
          <w:caps/>
          <w:color w:val="0F2B54"/>
          <w:sz w:val="20"/>
        </w:rPr>
        <w:t>REBALANCE SCHEDULE</w:t>
      </w:r>
    </w:p>
    <w:tbl>
      <w:tblPr>
        <w:tblW w:type="auto" w:w="0"/>
        <w:jc w:val="center"/>
        <w:tblBorders>
          <w:top w:val="single" w:sz="4" w:color="DDE3EF" w:space="0"/>
          <w:left w:val="single" w:sz="4" w:color="DDE3EF" w:space="0"/>
          <w:bottom w:val="single" w:sz="4" w:color="DDE3EF" w:space="0"/>
          <w:right w:val="single" w:sz="4" w:color="DDE3EF" w:space="0"/>
          <w:insideH w:val="single" w:sz="4" w:color="DDE3EF" w:space="0"/>
          <w:insideV w:val="single" w:sz="4" w:color="DDE3EF" w:space="0"/>
        </w:tblBorders>
        <w:tblLayout w:type="fixed"/>
        <w:tblLook w:firstColumn="1" w:firstRow="1" w:lastColumn="0" w:lastRow="0" w:noHBand="0" w:noVBand="1" w:val="04A0"/>
      </w:tblPr>
      <w:tblGrid>
        <w:gridCol w:w="2153"/>
        <w:gridCol w:w="2153"/>
        <w:gridCol w:w="2153"/>
        <w:gridCol w:w="2153"/>
        <w:gridCol w:w="2153"/>
      </w:tblGrid>
      <w:tr>
        <w:tc>
          <w:tcPr>
            <w:tcW w:type="dxa" w:w="2086"/>
            <w:shd w:val="clear" w:color="auto" w:fill="F3F6FB"/>
            <w:tcMar>
              <w:top w:w="60" w:type="dxa"/>
              <w:left w:w="110" w:type="dxa"/>
              <w:bottom w:w="60" w:type="dxa"/>
              <w:right w:w="110" w:type="dxa"/>
            </w:tcMar>
          </w:tcPr>
          <w:p>
            <w:pPr>
              <w:spacing w:after="0" w:before="0"/>
              <w:jc w:val="center"/>
            </w:pPr>
            <w:r>
              <w:rPr>
                <w:rFonts w:ascii="Calibri" w:hAnsi="Calibri" w:eastAsia="Calibri"/>
                <w:b/>
                <w:i w:val="0"/>
                <w:color w:val="6B7A99"/>
                <w:sz w:val="15"/>
              </w:rPr>
              <w:t>FREQUENCY</w:t>
            </w:r>
          </w:p>
          <w:p>
            <w:pPr>
              <w:spacing w:after="0" w:before="0"/>
              <w:jc w:val="center"/>
            </w:pPr>
            <w:r>
              <w:rPr>
                <w:rFonts w:ascii="Calibri" w:hAnsi="Calibri" w:eastAsia="Calibri"/>
                <w:b/>
                <w:i w:val="0"/>
                <w:color w:val="0F2B54"/>
                <w:sz w:val="20"/>
              </w:rPr>
              <w:t>Monthly</w:t>
            </w:r>
          </w:p>
        </w:tc>
        <w:tc>
          <w:tcPr>
            <w:tcW w:type="dxa" w:w="2086"/>
            <w:shd w:val="clear" w:color="auto" w:fill="F3F6FB"/>
            <w:tcMar>
              <w:top w:w="60" w:type="dxa"/>
              <w:left w:w="110" w:type="dxa"/>
              <w:bottom w:w="60" w:type="dxa"/>
              <w:right w:w="110" w:type="dxa"/>
            </w:tcMar>
          </w:tcPr>
          <w:p>
            <w:pPr>
              <w:spacing w:after="0" w:before="0"/>
              <w:jc w:val="center"/>
            </w:pPr>
            <w:r>
              <w:rPr>
                <w:rFonts w:ascii="Calibri" w:hAnsi="Calibri" w:eastAsia="Calibri"/>
                <w:b/>
                <w:i w:val="0"/>
                <w:color w:val="6B7A99"/>
                <w:sz w:val="15"/>
              </w:rPr>
              <w:t>REBALANCE DAY</w:t>
            </w:r>
          </w:p>
          <w:p>
            <w:pPr>
              <w:spacing w:after="0" w:before="0"/>
              <w:jc w:val="center"/>
            </w:pPr>
            <w:r>
              <w:rPr>
                <w:rFonts w:ascii="Calibri" w:hAnsi="Calibri" w:eastAsia="Calibri"/>
                <w:b/>
                <w:i w:val="0"/>
                <w:color w:val="0F2B54"/>
                <w:sz w:val="20"/>
              </w:rPr>
              <w:t>1st Trading Day</w:t>
            </w:r>
          </w:p>
        </w:tc>
        <w:tc>
          <w:tcPr>
            <w:tcW w:type="dxa" w:w="2086"/>
            <w:shd w:val="clear" w:color="auto" w:fill="F3F6FB"/>
            <w:tcMar>
              <w:top w:w="60" w:type="dxa"/>
              <w:left w:w="110" w:type="dxa"/>
              <w:bottom w:w="60" w:type="dxa"/>
              <w:right w:w="110" w:type="dxa"/>
            </w:tcMar>
          </w:tcPr>
          <w:p>
            <w:pPr>
              <w:spacing w:after="0" w:before="0"/>
              <w:jc w:val="center"/>
            </w:pPr>
            <w:r>
              <w:rPr>
                <w:rFonts w:ascii="Calibri" w:hAnsi="Calibri" w:eastAsia="Calibri"/>
                <w:b/>
                <w:i w:val="0"/>
                <w:color w:val="6B7A99"/>
                <w:sz w:val="15"/>
              </w:rPr>
              <w:t>LAST REBALANCE</w:t>
            </w:r>
          </w:p>
          <w:p>
            <w:pPr>
              <w:spacing w:after="0" w:before="0"/>
              <w:jc w:val="center"/>
            </w:pPr>
            <w:r>
              <w:rPr>
                <w:rFonts w:ascii="Calibri" w:hAnsi="Calibri" w:eastAsia="Calibri"/>
                <w:b/>
                <w:i w:val="0"/>
                <w:color w:val="0F2B54"/>
                <w:sz w:val="20"/>
              </w:rPr>
              <w:t>August 2026</w:t>
            </w:r>
          </w:p>
        </w:tc>
        <w:tc>
          <w:tcPr>
            <w:tcW w:type="dxa" w:w="2086"/>
            <w:shd w:val="clear" w:color="auto" w:fill="F3F6FB"/>
            <w:tcMar>
              <w:top w:w="60" w:type="dxa"/>
              <w:left w:w="110" w:type="dxa"/>
              <w:bottom w:w="60" w:type="dxa"/>
              <w:right w:w="110" w:type="dxa"/>
            </w:tcMar>
          </w:tcPr>
          <w:p>
            <w:pPr>
              <w:spacing w:after="0" w:before="0"/>
              <w:jc w:val="center"/>
            </w:pPr>
            <w:r>
              <w:rPr>
                <w:rFonts w:ascii="Calibri" w:hAnsi="Calibri" w:eastAsia="Calibri"/>
                <w:b/>
                <w:i w:val="0"/>
                <w:color w:val="6B7A99"/>
                <w:sz w:val="15"/>
              </w:rPr>
              <w:t>NEXT REBALANCE</w:t>
            </w:r>
          </w:p>
          <w:p>
            <w:pPr>
              <w:spacing w:after="0" w:before="0"/>
              <w:jc w:val="center"/>
            </w:pPr>
            <w:r>
              <w:rPr>
                <w:rFonts w:ascii="Calibri" w:hAnsi="Calibri" w:eastAsia="Calibri"/>
                <w:b/>
                <w:i w:val="0"/>
                <w:color w:val="0F2B54"/>
                <w:sz w:val="20"/>
              </w:rPr>
              <w:t>September 2026</w:t>
            </w:r>
          </w:p>
        </w:tc>
        <w:tc>
          <w:tcPr>
            <w:tcW w:type="dxa" w:w="2086"/>
            <w:shd w:val="clear" w:color="auto" w:fill="F3F6FB"/>
            <w:tcMar>
              <w:top w:w="60" w:type="dxa"/>
              <w:left w:w="110" w:type="dxa"/>
              <w:bottom w:w="60" w:type="dxa"/>
              <w:right w:w="110" w:type="dxa"/>
            </w:tcMar>
          </w:tcPr>
          <w:p>
            <w:pPr>
              <w:spacing w:after="0" w:before="0"/>
              <w:jc w:val="center"/>
            </w:pPr>
            <w:r>
              <w:rPr>
                <w:rFonts w:ascii="Calibri" w:hAnsi="Calibri" w:eastAsia="Calibri"/>
                <w:b/>
                <w:i w:val="0"/>
                <w:color w:val="6B7A99"/>
                <w:sz w:val="15"/>
              </w:rPr>
              <w:t>MANAGED BY</w:t>
            </w:r>
          </w:p>
          <w:p>
            <w:pPr>
              <w:spacing w:after="0" w:before="0"/>
              <w:jc w:val="center"/>
            </w:pPr>
            <w:r>
              <w:rPr>
                <w:rFonts w:ascii="Calibri" w:hAnsi="Calibri" w:eastAsia="Calibri"/>
                <w:b/>
                <w:i w:val="0"/>
                <w:color w:val="0F2B54"/>
                <w:sz w:val="20"/>
              </w:rPr>
              <w:t>SMC Research</w:t>
            </w:r>
          </w:p>
        </w:tc>
      </w:tr>
    </w:tbl>
    <w:p>
      <w:r>
        <w:br w:type="page"/>
      </w:r>
    </w:p>
    <w:p>
      <w:pPr>
        <w:pBdr>
          <w:bottom w:val="single" w:sz="6" w:space="2" w:color="DDE3EF"/>
        </w:pBdr>
        <w:spacing w:before="280" w:after="120"/>
      </w:pPr>
      <w:r>
        <w:rPr>
          <w:rFonts w:ascii="Calibri" w:hAnsi="Calibri"/>
          <w:b/>
          <w:caps/>
          <w:color w:val="0F2B54"/>
          <w:sz w:val="20"/>
        </w:rPr>
        <w:t>PERFORMANCE &amp; RISK METRICS</w:t>
      </w:r>
    </w:p>
    <w:tbl>
      <w:tblPr>
        <w:tblW w:type="auto" w:w="0"/>
        <w:jc w:val="center"/>
        <w:tblBorders>
          <w:top w:val="none" w:sz="0" w:space="0"/>
          <w:left w:val="none" w:sz="0" w:space="0"/>
          <w:bottom w:val="none" w:sz="0" w:space="0"/>
          <w:right w:val="none" w:sz="0" w:space="0"/>
          <w:insideH w:val="single" w:sz="4" w:color="DDE3EF" w:space="0"/>
          <w:insideV w:val="none" w:sz="0" w:space="0"/>
        </w:tblBorders>
        <w:tblLayout w:type="fixed"/>
        <w:tblLook w:firstColumn="1" w:firstRow="1" w:lastColumn="0" w:lastRow="0" w:noHBand="0" w:noVBand="1" w:val="04A0"/>
      </w:tblPr>
      <w:tblGrid>
        <w:gridCol w:w="2691"/>
        <w:gridCol w:w="2691"/>
        <w:gridCol w:w="2691"/>
        <w:gridCol w:w="2691"/>
      </w:tblGrid>
      <w:tr>
        <w:tc>
          <w:tcPr>
            <w:tcW w:type="dxa" w:w="3175"/>
            <w:tcMar>
              <w:top w:w="50" w:type="dxa"/>
              <w:left w:w="40" w:type="dxa"/>
              <w:bottom w:w="50" w:type="dxa"/>
              <w:right w:w="40" w:type="dxa"/>
            </w:tcMar>
          </w:tcPr>
          <w:p>
            <w:pPr>
              <w:spacing w:after="0" w:before="0"/>
            </w:pPr>
            <w:r>
              <w:rPr>
                <w:rFonts w:ascii="Calibri" w:hAnsi="Calibri" w:eastAsia="Calibri"/>
                <w:b w:val="0"/>
                <w:i w:val="0"/>
                <w:color w:val="6B7A99"/>
                <w:sz w:val="19"/>
              </w:rPr>
              <w:t>CAGR (Portfolio)</w:t>
            </w:r>
          </w:p>
        </w:tc>
        <w:tc>
          <w:tcPr>
            <w:tcW w:type="dxa" w:w="2041"/>
            <w:tcMar>
              <w:top w:w="50" w:type="dxa"/>
              <w:left w:w="40" w:type="dxa"/>
              <w:bottom w:w="50" w:type="dxa"/>
              <w:right w:w="40" w:type="dxa"/>
            </w:tcMar>
          </w:tcPr>
          <w:p>
            <w:pPr>
              <w:spacing w:after="0" w:before="0"/>
              <w:jc w:val="right"/>
            </w:pPr>
            <w:r>
              <w:rPr>
                <w:rFonts w:ascii="Consolas" w:hAnsi="Consolas" w:eastAsia="Consolas"/>
                <w:b/>
                <w:i w:val="0"/>
                <w:color w:val="16C784"/>
                <w:sz w:val="20"/>
              </w:rPr>
              <w:t>42.09%</w:t>
            </w:r>
          </w:p>
        </w:tc>
        <w:tc>
          <w:tcPr>
            <w:tcW w:type="dxa" w:w="3175"/>
            <w:tcMar>
              <w:top w:w="50" w:type="dxa"/>
              <w:left w:w="40" w:type="dxa"/>
              <w:bottom w:w="50" w:type="dxa"/>
              <w:right w:w="40" w:type="dxa"/>
            </w:tcMar>
          </w:tcPr>
          <w:p>
            <w:pPr>
              <w:spacing w:after="0" w:before="0"/>
            </w:pPr>
            <w:r>
              <w:rPr>
                <w:rFonts w:ascii="Calibri" w:hAnsi="Calibri" w:eastAsia="Calibri"/>
                <w:b w:val="0"/>
                <w:i w:val="0"/>
                <w:color w:val="6B7A99"/>
                <w:sz w:val="19"/>
              </w:rPr>
              <w:t>Max Drawdown</w:t>
            </w:r>
          </w:p>
        </w:tc>
        <w:tc>
          <w:tcPr>
            <w:tcW w:type="dxa" w:w="2041"/>
            <w:tcMar>
              <w:top w:w="50" w:type="dxa"/>
              <w:left w:w="40" w:type="dxa"/>
              <w:bottom w:w="50" w:type="dxa"/>
              <w:right w:w="40" w:type="dxa"/>
            </w:tcMar>
          </w:tcPr>
          <w:p>
            <w:pPr>
              <w:spacing w:after="0" w:before="0"/>
              <w:jc w:val="right"/>
            </w:pPr>
            <w:r>
              <w:rPr>
                <w:rFonts w:ascii="Consolas" w:hAnsi="Consolas" w:eastAsia="Consolas"/>
                <w:b/>
                <w:i w:val="0"/>
                <w:color w:val="EA3943"/>
                <w:sz w:val="20"/>
              </w:rPr>
              <w:t>-23.48%</w:t>
            </w:r>
          </w:p>
        </w:tc>
      </w:tr>
      <w:tr>
        <w:tc>
          <w:tcPr>
            <w:tcW w:type="dxa" w:w="3175"/>
            <w:tcMar>
              <w:top w:w="50" w:type="dxa"/>
              <w:left w:w="40" w:type="dxa"/>
              <w:bottom w:w="50" w:type="dxa"/>
              <w:right w:w="40" w:type="dxa"/>
            </w:tcMar>
          </w:tcPr>
          <w:p>
            <w:pPr>
              <w:spacing w:after="0" w:before="0"/>
            </w:pPr>
            <w:r>
              <w:rPr>
                <w:rFonts w:ascii="Calibri" w:hAnsi="Calibri" w:eastAsia="Calibri"/>
                <w:b w:val="0"/>
                <w:i w:val="0"/>
                <w:color w:val="6B7A99"/>
                <w:sz w:val="19"/>
              </w:rPr>
              <w:t>CAGR (Nifty 500 — Benchmark)</w:t>
            </w:r>
          </w:p>
        </w:tc>
        <w:tc>
          <w:tcPr>
            <w:tcW w:type="dxa" w:w="2041"/>
            <w:tcMar>
              <w:top w:w="50" w:type="dxa"/>
              <w:left w:w="40" w:type="dxa"/>
              <w:bottom w:w="50" w:type="dxa"/>
              <w:right w:w="40" w:type="dxa"/>
            </w:tcMar>
          </w:tcPr>
          <w:p>
            <w:pPr>
              <w:spacing w:after="0" w:before="0"/>
              <w:jc w:val="right"/>
            </w:pPr>
            <w:r>
              <w:rPr>
                <w:rFonts w:ascii="Consolas" w:hAnsi="Consolas" w:eastAsia="Consolas"/>
                <w:b/>
                <w:i w:val="0"/>
                <w:color w:val="1A1A2E"/>
                <w:sz w:val="20"/>
              </w:rPr>
              <w:t>13.79%</w:t>
            </w:r>
          </w:p>
        </w:tc>
        <w:tc>
          <w:tcPr>
            <w:tcW w:type="dxa" w:w="3175"/>
            <w:tcMar>
              <w:top w:w="50" w:type="dxa"/>
              <w:left w:w="40" w:type="dxa"/>
              <w:bottom w:w="50" w:type="dxa"/>
              <w:right w:w="40" w:type="dxa"/>
            </w:tcMar>
          </w:tcPr>
          <w:p>
            <w:pPr>
              <w:spacing w:after="0" w:before="0"/>
            </w:pPr>
            <w:r>
              <w:rPr>
                <w:rFonts w:ascii="Calibri" w:hAnsi="Calibri" w:eastAsia="Calibri"/>
                <w:b w:val="0"/>
                <w:i w:val="0"/>
                <w:color w:val="6B7A99"/>
                <w:sz w:val="19"/>
              </w:rPr>
              <w:t>Win Rate (Monthly)</w:t>
            </w:r>
          </w:p>
        </w:tc>
        <w:tc>
          <w:tcPr>
            <w:tcW w:type="dxa" w:w="2041"/>
            <w:tcMar>
              <w:top w:w="50" w:type="dxa"/>
              <w:left w:w="40" w:type="dxa"/>
              <w:bottom w:w="50" w:type="dxa"/>
              <w:right w:w="40" w:type="dxa"/>
            </w:tcMar>
          </w:tcPr>
          <w:p>
            <w:pPr>
              <w:spacing w:after="0" w:before="0"/>
              <w:jc w:val="right"/>
            </w:pPr>
            <w:r>
              <w:rPr>
                <w:rFonts w:ascii="Consolas" w:hAnsi="Consolas" w:eastAsia="Consolas"/>
                <w:b/>
                <w:i w:val="0"/>
                <w:color w:val="16C784"/>
                <w:sz w:val="20"/>
              </w:rPr>
              <w:t>71.2%</w:t>
            </w:r>
          </w:p>
        </w:tc>
      </w:tr>
      <w:tr>
        <w:tc>
          <w:tcPr>
            <w:tcW w:type="dxa" w:w="3175"/>
            <w:tcMar>
              <w:top w:w="50" w:type="dxa"/>
              <w:left w:w="40" w:type="dxa"/>
              <w:bottom w:w="50" w:type="dxa"/>
              <w:right w:w="40" w:type="dxa"/>
            </w:tcMar>
          </w:tcPr>
          <w:p>
            <w:pPr>
              <w:spacing w:after="0" w:before="0"/>
            </w:pPr>
            <w:r>
              <w:rPr>
                <w:rFonts w:ascii="Calibri" w:hAnsi="Calibri" w:eastAsia="Calibri"/>
                <w:b w:val="0"/>
                <w:i w:val="0"/>
                <w:color w:val="6B7A99"/>
                <w:sz w:val="19"/>
              </w:rPr>
              <w:t>CAGR (Nifty 50 — Reference)</w:t>
            </w:r>
          </w:p>
        </w:tc>
        <w:tc>
          <w:tcPr>
            <w:tcW w:type="dxa" w:w="2041"/>
            <w:tcMar>
              <w:top w:w="50" w:type="dxa"/>
              <w:left w:w="40" w:type="dxa"/>
              <w:bottom w:w="50" w:type="dxa"/>
              <w:right w:w="40" w:type="dxa"/>
            </w:tcMar>
          </w:tcPr>
          <w:p>
            <w:pPr>
              <w:spacing w:after="0" w:before="0"/>
              <w:jc w:val="right"/>
            </w:pPr>
            <w:r>
              <w:rPr>
                <w:rFonts w:ascii="Consolas" w:hAnsi="Consolas" w:eastAsia="Consolas"/>
                <w:b/>
                <w:i w:val="0"/>
                <w:color w:val="1A1A2E"/>
                <w:sz w:val="20"/>
              </w:rPr>
              <w:t>10.94%</w:t>
            </w:r>
          </w:p>
        </w:tc>
        <w:tc>
          <w:tcPr>
            <w:tcW w:type="dxa" w:w="3175"/>
            <w:tcMar>
              <w:top w:w="50" w:type="dxa"/>
              <w:left w:w="40" w:type="dxa"/>
              <w:bottom w:w="50" w:type="dxa"/>
              <w:right w:w="40" w:type="dxa"/>
            </w:tcMar>
          </w:tcPr>
          <w:p>
            <w:pPr>
              <w:spacing w:after="0" w:before="0"/>
            </w:pPr>
            <w:r>
              <w:rPr>
                <w:rFonts w:ascii="Calibri" w:hAnsi="Calibri" w:eastAsia="Calibri"/>
                <w:b w:val="0"/>
                <w:i w:val="0"/>
                <w:color w:val="6B7A99"/>
                <w:sz w:val="19"/>
              </w:rPr>
              <w:t>Avg Monthly Gain</w:t>
            </w:r>
          </w:p>
        </w:tc>
        <w:tc>
          <w:tcPr>
            <w:tcW w:type="dxa" w:w="2041"/>
            <w:tcMar>
              <w:top w:w="50" w:type="dxa"/>
              <w:left w:w="40" w:type="dxa"/>
              <w:bottom w:w="50" w:type="dxa"/>
              <w:right w:w="40" w:type="dxa"/>
            </w:tcMar>
          </w:tcPr>
          <w:p>
            <w:pPr>
              <w:spacing w:after="0" w:before="0"/>
              <w:jc w:val="right"/>
            </w:pPr>
            <w:r>
              <w:rPr>
                <w:rFonts w:ascii="Consolas" w:hAnsi="Consolas" w:eastAsia="Consolas"/>
                <w:b/>
                <w:i w:val="0"/>
                <w:color w:val="16C784"/>
                <w:sz w:val="20"/>
              </w:rPr>
              <w:t>+6.47%</w:t>
            </w:r>
          </w:p>
        </w:tc>
      </w:tr>
      <w:tr>
        <w:tc>
          <w:tcPr>
            <w:tcW w:type="dxa" w:w="3175"/>
            <w:tcMar>
              <w:top w:w="50" w:type="dxa"/>
              <w:left w:w="40" w:type="dxa"/>
              <w:bottom w:w="50" w:type="dxa"/>
              <w:right w:w="40" w:type="dxa"/>
            </w:tcMar>
          </w:tcPr>
          <w:p>
            <w:pPr>
              <w:spacing w:after="0" w:before="0"/>
            </w:pPr>
            <w:r>
              <w:rPr>
                <w:rFonts w:ascii="Calibri" w:hAnsi="Calibri" w:eastAsia="Calibri"/>
                <w:b w:val="0"/>
                <w:i w:val="0"/>
                <w:color w:val="6B7A99"/>
                <w:sz w:val="19"/>
              </w:rPr>
              <w:t>Total Return</w:t>
            </w:r>
          </w:p>
        </w:tc>
        <w:tc>
          <w:tcPr>
            <w:tcW w:type="dxa" w:w="2041"/>
            <w:tcMar>
              <w:top w:w="50" w:type="dxa"/>
              <w:left w:w="40" w:type="dxa"/>
              <w:bottom w:w="50" w:type="dxa"/>
              <w:right w:w="40" w:type="dxa"/>
            </w:tcMar>
          </w:tcPr>
          <w:p>
            <w:pPr>
              <w:spacing w:after="0" w:before="0"/>
              <w:jc w:val="right"/>
            </w:pPr>
            <w:r>
              <w:rPr>
                <w:rFonts w:ascii="Consolas" w:hAnsi="Consolas" w:eastAsia="Consolas"/>
                <w:b/>
                <w:i w:val="0"/>
                <w:color w:val="16C784"/>
                <w:sz w:val="20"/>
              </w:rPr>
              <w:t>940.30%</w:t>
            </w:r>
          </w:p>
        </w:tc>
        <w:tc>
          <w:tcPr>
            <w:tcW w:type="dxa" w:w="3175"/>
            <w:tcMar>
              <w:top w:w="50" w:type="dxa"/>
              <w:left w:w="40" w:type="dxa"/>
              <w:bottom w:w="50" w:type="dxa"/>
              <w:right w:w="40" w:type="dxa"/>
            </w:tcMar>
          </w:tcPr>
          <w:p>
            <w:pPr>
              <w:spacing w:after="0" w:before="0"/>
            </w:pPr>
            <w:r>
              <w:rPr>
                <w:rFonts w:ascii="Calibri" w:hAnsi="Calibri" w:eastAsia="Calibri"/>
                <w:b w:val="0"/>
                <w:i w:val="0"/>
                <w:color w:val="6B7A99"/>
                <w:sz w:val="19"/>
              </w:rPr>
              <w:t>Avg Monthly Loss</w:t>
            </w:r>
          </w:p>
        </w:tc>
        <w:tc>
          <w:tcPr>
            <w:tcW w:type="dxa" w:w="2041"/>
            <w:tcMar>
              <w:top w:w="50" w:type="dxa"/>
              <w:left w:w="40" w:type="dxa"/>
              <w:bottom w:w="50" w:type="dxa"/>
              <w:right w:w="40" w:type="dxa"/>
            </w:tcMar>
          </w:tcPr>
          <w:p>
            <w:pPr>
              <w:spacing w:after="0" w:before="0"/>
              <w:jc w:val="right"/>
            </w:pPr>
            <w:r>
              <w:rPr>
                <w:rFonts w:ascii="Consolas" w:hAnsi="Consolas" w:eastAsia="Consolas"/>
                <w:b/>
                <w:i w:val="0"/>
                <w:color w:val="EA3943"/>
                <w:sz w:val="20"/>
              </w:rPr>
              <w:t>-4.86%</w:t>
            </w:r>
          </w:p>
        </w:tc>
      </w:tr>
      <w:tr>
        <w:tc>
          <w:tcPr>
            <w:tcW w:type="dxa" w:w="3175"/>
            <w:tcMar>
              <w:top w:w="50" w:type="dxa"/>
              <w:left w:w="40" w:type="dxa"/>
              <w:bottom w:w="50" w:type="dxa"/>
              <w:right w:w="40" w:type="dxa"/>
            </w:tcMar>
          </w:tcPr>
          <w:p>
            <w:pPr>
              <w:spacing w:after="0" w:before="0"/>
            </w:pPr>
            <w:r>
              <w:rPr>
                <w:rFonts w:ascii="Calibri" w:hAnsi="Calibri" w:eastAsia="Calibri"/>
                <w:b w:val="0"/>
                <w:i w:val="0"/>
                <w:color w:val="6B7A99"/>
                <w:sz w:val="19"/>
              </w:rPr>
              <w:t>Alpha vs Nifty 500</w:t>
            </w:r>
          </w:p>
        </w:tc>
        <w:tc>
          <w:tcPr>
            <w:tcW w:type="dxa" w:w="2041"/>
            <w:tcMar>
              <w:top w:w="50" w:type="dxa"/>
              <w:left w:w="40" w:type="dxa"/>
              <w:bottom w:w="50" w:type="dxa"/>
              <w:right w:w="40" w:type="dxa"/>
            </w:tcMar>
          </w:tcPr>
          <w:p>
            <w:pPr>
              <w:spacing w:after="0" w:before="0"/>
              <w:jc w:val="right"/>
            </w:pPr>
            <w:r>
              <w:rPr>
                <w:rFonts w:ascii="Consolas" w:hAnsi="Consolas" w:eastAsia="Consolas"/>
                <w:b/>
                <w:i w:val="0"/>
                <w:color w:val="16C784"/>
                <w:sz w:val="20"/>
              </w:rPr>
              <w:t>+28.31%</w:t>
            </w:r>
          </w:p>
        </w:tc>
        <w:tc>
          <w:tcPr>
            <w:tcW w:type="dxa" w:w="3175"/>
            <w:tcMar>
              <w:top w:w="50" w:type="dxa"/>
              <w:left w:w="40" w:type="dxa"/>
              <w:bottom w:w="50" w:type="dxa"/>
              <w:right w:w="40" w:type="dxa"/>
            </w:tcMar>
          </w:tcPr>
          <w:p>
            <w:pPr>
              <w:spacing w:after="0" w:before="0"/>
            </w:pPr>
            <w:r>
              <w:rPr>
                <w:rFonts w:ascii="Calibri" w:hAnsi="Calibri" w:eastAsia="Calibri"/>
                <w:b w:val="0"/>
                <w:i w:val="0"/>
                <w:color w:val="6B7A99"/>
                <w:sz w:val="19"/>
              </w:rPr>
              <w:t>Best Month</w:t>
            </w:r>
          </w:p>
        </w:tc>
        <w:tc>
          <w:tcPr>
            <w:tcW w:type="dxa" w:w="2041"/>
            <w:tcMar>
              <w:top w:w="50" w:type="dxa"/>
              <w:left w:w="40" w:type="dxa"/>
              <w:bottom w:w="50" w:type="dxa"/>
              <w:right w:w="40" w:type="dxa"/>
            </w:tcMar>
          </w:tcPr>
          <w:p>
            <w:pPr>
              <w:spacing w:after="0" w:before="0"/>
              <w:jc w:val="right"/>
            </w:pPr>
            <w:r>
              <w:rPr>
                <w:rFonts w:ascii="Consolas" w:hAnsi="Consolas" w:eastAsia="Consolas"/>
                <w:b/>
                <w:i w:val="0"/>
                <w:color w:val="16C784"/>
                <w:sz w:val="20"/>
              </w:rPr>
              <w:t>+18.78%</w:t>
            </w:r>
          </w:p>
        </w:tc>
      </w:tr>
      <w:tr>
        <w:tc>
          <w:tcPr>
            <w:tcW w:type="dxa" w:w="3175"/>
            <w:tcMar>
              <w:top w:w="50" w:type="dxa"/>
              <w:left w:w="40" w:type="dxa"/>
              <w:bottom w:w="50" w:type="dxa"/>
              <w:right w:w="40" w:type="dxa"/>
            </w:tcMar>
          </w:tcPr>
          <w:p>
            <w:pPr>
              <w:spacing w:after="0" w:before="0"/>
            </w:pPr>
            <w:r>
              <w:rPr>
                <w:rFonts w:ascii="Calibri" w:hAnsi="Calibri" w:eastAsia="Calibri"/>
                <w:b w:val="0"/>
                <w:i w:val="0"/>
                <w:color w:val="6B7A99"/>
                <w:sz w:val="19"/>
              </w:rPr>
              <w:t>Annualised Volatility</w:t>
            </w:r>
          </w:p>
        </w:tc>
        <w:tc>
          <w:tcPr>
            <w:tcW w:type="dxa" w:w="2041"/>
            <w:tcMar>
              <w:top w:w="50" w:type="dxa"/>
              <w:left w:w="40" w:type="dxa"/>
              <w:bottom w:w="50" w:type="dxa"/>
              <w:right w:w="40" w:type="dxa"/>
            </w:tcMar>
          </w:tcPr>
          <w:p>
            <w:pPr>
              <w:spacing w:after="0" w:before="0"/>
              <w:jc w:val="right"/>
            </w:pPr>
            <w:r>
              <w:rPr>
                <w:rFonts w:ascii="Consolas" w:hAnsi="Consolas" w:eastAsia="Consolas"/>
                <w:b/>
                <w:i w:val="0"/>
                <w:color w:val="1A1A2E"/>
                <w:sz w:val="20"/>
              </w:rPr>
              <w:t>24.05%</w:t>
            </w:r>
          </w:p>
        </w:tc>
        <w:tc>
          <w:tcPr>
            <w:tcW w:type="dxa" w:w="3175"/>
            <w:tcMar>
              <w:top w:w="50" w:type="dxa"/>
              <w:left w:w="40" w:type="dxa"/>
              <w:bottom w:w="50" w:type="dxa"/>
              <w:right w:w="40" w:type="dxa"/>
            </w:tcMar>
          </w:tcPr>
          <w:p>
            <w:pPr>
              <w:spacing w:after="0" w:before="0"/>
            </w:pPr>
            <w:r>
              <w:rPr>
                <w:rFonts w:ascii="Calibri" w:hAnsi="Calibri" w:eastAsia="Calibri"/>
                <w:b w:val="0"/>
                <w:i w:val="0"/>
                <w:color w:val="6B7A99"/>
                <w:sz w:val="19"/>
              </w:rPr>
              <w:t>Worst Month</w:t>
            </w:r>
          </w:p>
        </w:tc>
        <w:tc>
          <w:tcPr>
            <w:tcW w:type="dxa" w:w="2041"/>
            <w:tcMar>
              <w:top w:w="50" w:type="dxa"/>
              <w:left w:w="40" w:type="dxa"/>
              <w:bottom w:w="50" w:type="dxa"/>
              <w:right w:w="40" w:type="dxa"/>
            </w:tcMar>
          </w:tcPr>
          <w:p>
            <w:pPr>
              <w:spacing w:after="0" w:before="0"/>
              <w:jc w:val="right"/>
            </w:pPr>
            <w:r>
              <w:rPr>
                <w:rFonts w:ascii="Consolas" w:hAnsi="Consolas" w:eastAsia="Consolas"/>
                <w:b/>
                <w:i w:val="0"/>
                <w:color w:val="EA3943"/>
                <w:sz w:val="20"/>
              </w:rPr>
              <w:t>-21.12%</w:t>
            </w:r>
          </w:p>
        </w:tc>
      </w:tr>
      <w:tr>
        <w:tc>
          <w:tcPr>
            <w:tcW w:type="dxa" w:w="3175"/>
            <w:tcMar>
              <w:top w:w="50" w:type="dxa"/>
              <w:left w:w="40" w:type="dxa"/>
              <w:bottom w:w="50" w:type="dxa"/>
              <w:right w:w="40" w:type="dxa"/>
            </w:tcMar>
          </w:tcPr>
          <w:p>
            <w:pPr>
              <w:spacing w:after="0" w:before="0"/>
            </w:pPr>
            <w:r>
              <w:rPr>
                <w:rFonts w:ascii="Calibri" w:hAnsi="Calibri" w:eastAsia="Calibri"/>
                <w:b w:val="0"/>
                <w:i w:val="0"/>
                <w:color w:val="6B7A99"/>
                <w:sz w:val="19"/>
              </w:rPr>
              <w:t>Sharpe Ratio</w:t>
            </w:r>
          </w:p>
        </w:tc>
        <w:tc>
          <w:tcPr>
            <w:tcW w:type="dxa" w:w="2041"/>
            <w:tcMar>
              <w:top w:w="50" w:type="dxa"/>
              <w:left w:w="40" w:type="dxa"/>
              <w:bottom w:w="50" w:type="dxa"/>
              <w:right w:w="40" w:type="dxa"/>
            </w:tcMar>
          </w:tcPr>
          <w:p>
            <w:pPr>
              <w:spacing w:after="0" w:before="0"/>
              <w:jc w:val="right"/>
            </w:pPr>
            <w:r>
              <w:rPr>
                <w:rFonts w:ascii="Consolas" w:hAnsi="Consolas" w:eastAsia="Consolas"/>
                <w:b/>
                <w:i w:val="0"/>
                <w:color w:val="16C784"/>
                <w:sz w:val="20"/>
              </w:rPr>
              <w:t>1.50</w:t>
            </w:r>
          </w:p>
        </w:tc>
        <w:tc>
          <w:tcPr>
            <w:tcW w:type="dxa" w:w="3175"/>
            <w:tcMar>
              <w:top w:w="50" w:type="dxa"/>
              <w:left w:w="40" w:type="dxa"/>
              <w:bottom w:w="50" w:type="dxa"/>
              <w:right w:w="40" w:type="dxa"/>
            </w:tcMar>
          </w:tcPr>
          <w:p>
            <w:pPr>
              <w:spacing w:after="0" w:before="0"/>
            </w:pPr>
            <w:r>
              <w:rPr>
                <w:rFonts w:ascii="Calibri" w:hAnsi="Calibri" w:eastAsia="Calibri"/>
                <w:b w:val="0"/>
                <w:i w:val="0"/>
                <w:color w:val="6B7A99"/>
                <w:sz w:val="19"/>
              </w:rPr>
              <w:t>VaR (95%, Monthly)</w:t>
            </w:r>
          </w:p>
        </w:tc>
        <w:tc>
          <w:tcPr>
            <w:tcW w:type="dxa" w:w="2041"/>
            <w:tcMar>
              <w:top w:w="50" w:type="dxa"/>
              <w:left w:w="40" w:type="dxa"/>
              <w:bottom w:w="50" w:type="dxa"/>
              <w:right w:w="40" w:type="dxa"/>
            </w:tcMar>
          </w:tcPr>
          <w:p>
            <w:pPr>
              <w:spacing w:after="0" w:before="0"/>
              <w:jc w:val="right"/>
            </w:pPr>
            <w:r>
              <w:rPr>
                <w:rFonts w:ascii="Consolas" w:hAnsi="Consolas" w:eastAsia="Consolas"/>
                <w:b/>
                <w:i w:val="0"/>
                <w:color w:val="EA3943"/>
                <w:sz w:val="20"/>
              </w:rPr>
              <w:t>-6.97%</w:t>
            </w:r>
          </w:p>
        </w:tc>
      </w:tr>
      <w:tr>
        <w:tc>
          <w:tcPr>
            <w:tcW w:type="dxa" w:w="3175"/>
            <w:tcMar>
              <w:top w:w="50" w:type="dxa"/>
              <w:left w:w="40" w:type="dxa"/>
              <w:bottom w:w="50" w:type="dxa"/>
              <w:right w:w="40" w:type="dxa"/>
            </w:tcMar>
          </w:tcPr>
          <w:p>
            <w:pPr>
              <w:spacing w:after="0" w:before="0"/>
            </w:pPr>
            <w:r>
              <w:rPr>
                <w:rFonts w:ascii="Calibri" w:hAnsi="Calibri" w:eastAsia="Calibri"/>
                <w:b w:val="0"/>
                <w:i w:val="0"/>
                <w:color w:val="6B7A99"/>
                <w:sz w:val="19"/>
              </w:rPr>
              <w:t>Sortino Ratio</w:t>
            </w:r>
          </w:p>
        </w:tc>
        <w:tc>
          <w:tcPr>
            <w:tcW w:type="dxa" w:w="2041"/>
            <w:tcMar>
              <w:top w:w="50" w:type="dxa"/>
              <w:left w:w="40" w:type="dxa"/>
              <w:bottom w:w="50" w:type="dxa"/>
              <w:right w:w="40" w:type="dxa"/>
            </w:tcMar>
          </w:tcPr>
          <w:p>
            <w:pPr>
              <w:spacing w:after="0" w:before="0"/>
              <w:jc w:val="right"/>
            </w:pPr>
            <w:r>
              <w:rPr>
                <w:rFonts w:ascii="Consolas" w:hAnsi="Consolas" w:eastAsia="Consolas"/>
                <w:b/>
                <w:i w:val="0"/>
                <w:color w:val="16C784"/>
                <w:sz w:val="20"/>
              </w:rPr>
              <w:t>2.09</w:t>
            </w:r>
          </w:p>
        </w:tc>
        <w:tc>
          <w:tcPr>
            <w:tcW w:type="dxa" w:w="3175"/>
            <w:tcMar>
              <w:top w:w="50" w:type="dxa"/>
              <w:left w:w="40" w:type="dxa"/>
              <w:bottom w:w="50" w:type="dxa"/>
              <w:right w:w="40" w:type="dxa"/>
            </w:tcMar>
          </w:tcPr>
          <w:p>
            <w:pPr>
              <w:spacing w:after="0" w:before="0"/>
            </w:pPr>
            <w:r>
              <w:rPr>
                <w:rFonts w:ascii="Calibri" w:hAnsi="Calibri" w:eastAsia="Calibri"/>
                <w:b w:val="0"/>
                <w:i w:val="0"/>
                <w:color w:val="6B7A99"/>
                <w:sz w:val="19"/>
              </w:rPr>
              <w:t>Live Since</w:t>
            </w:r>
          </w:p>
        </w:tc>
        <w:tc>
          <w:tcPr>
            <w:tcW w:type="dxa" w:w="2041"/>
            <w:tcMar>
              <w:top w:w="50" w:type="dxa"/>
              <w:left w:w="40" w:type="dxa"/>
              <w:bottom w:w="50" w:type="dxa"/>
              <w:right w:w="40" w:type="dxa"/>
            </w:tcMar>
          </w:tcPr>
          <w:p>
            <w:pPr>
              <w:spacing w:after="0" w:before="0"/>
              <w:jc w:val="right"/>
            </w:pPr>
            <w:r>
              <w:rPr>
                <w:rFonts w:ascii="Consolas" w:hAnsi="Consolas" w:eastAsia="Consolas"/>
                <w:b/>
                <w:i w:val="0"/>
                <w:color w:val="1A1A2E"/>
                <w:sz w:val="20"/>
              </w:rPr>
              <w:t>Jan 2020</w:t>
            </w:r>
          </w:p>
        </w:tc>
      </w:tr>
      <w:tr>
        <w:tc>
          <w:tcPr>
            <w:tcW w:type="dxa" w:w="3175"/>
            <w:tcMar>
              <w:top w:w="50" w:type="dxa"/>
              <w:left w:w="40" w:type="dxa"/>
              <w:bottom w:w="50" w:type="dxa"/>
              <w:right w:w="40" w:type="dxa"/>
            </w:tcMar>
          </w:tcPr>
          <w:p>
            <w:pPr>
              <w:spacing w:after="0" w:before="0"/>
            </w:pPr>
            <w:r>
              <w:rPr>
                <w:rFonts w:ascii="Calibri" w:hAnsi="Calibri" w:eastAsia="Calibri"/>
                <w:b w:val="0"/>
                <w:i w:val="0"/>
                <w:color w:val="6B7A99"/>
                <w:sz w:val="19"/>
              </w:rPr>
              <w:t>Calmar Ratio</w:t>
            </w:r>
          </w:p>
        </w:tc>
        <w:tc>
          <w:tcPr>
            <w:tcW w:type="dxa" w:w="2041"/>
            <w:tcMar>
              <w:top w:w="50" w:type="dxa"/>
              <w:left w:w="40" w:type="dxa"/>
              <w:bottom w:w="50" w:type="dxa"/>
              <w:right w:w="40" w:type="dxa"/>
            </w:tcMar>
          </w:tcPr>
          <w:p>
            <w:pPr>
              <w:spacing w:after="0" w:before="0"/>
              <w:jc w:val="right"/>
            </w:pPr>
            <w:r>
              <w:rPr>
                <w:rFonts w:ascii="Consolas" w:hAnsi="Consolas" w:eastAsia="Consolas"/>
                <w:b/>
                <w:i w:val="0"/>
                <w:color w:val="16C784"/>
                <w:sz w:val="20"/>
              </w:rPr>
              <w:t>1.79</w:t>
            </w:r>
          </w:p>
        </w:tc>
        <w:tc>
          <w:tcPr>
            <w:tcW w:type="dxa" w:w="3175"/>
            <w:tcMar>
              <w:top w:w="50" w:type="dxa"/>
              <w:left w:w="40" w:type="dxa"/>
              <w:bottom w:w="50" w:type="dxa"/>
              <w:right w:w="40" w:type="dxa"/>
            </w:tcMar>
          </w:tcPr>
          <w:p>
            <w:pPr>
              <w:spacing w:after="0" w:before="0"/>
            </w:pPr>
            <w:r>
              <w:rPr>
                <w:rFonts w:ascii="Calibri" w:hAnsi="Calibri" w:eastAsia="Calibri"/>
                <w:b w:val="0"/>
                <w:i w:val="0"/>
                <w:color w:val="6B7A99"/>
                <w:sz w:val="19"/>
              </w:rPr>
            </w:r>
          </w:p>
        </w:tc>
        <w:tc>
          <w:tcPr>
            <w:tcW w:type="dxa" w:w="2041"/>
            <w:tcMar>
              <w:top w:w="50" w:type="dxa"/>
              <w:left w:w="40" w:type="dxa"/>
              <w:bottom w:w="50" w:type="dxa"/>
              <w:right w:w="40" w:type="dxa"/>
            </w:tcMar>
          </w:tcPr>
          <w:p>
            <w:pPr>
              <w:spacing w:after="0" w:before="0"/>
              <w:jc w:val="right"/>
            </w:pPr>
            <w:r>
              <w:rPr>
                <w:rFonts w:ascii="Consolas" w:hAnsi="Consolas" w:eastAsia="Consolas"/>
                <w:b/>
                <w:i w:val="0"/>
                <w:color w:val="1A1A2E"/>
                <w:sz w:val="20"/>
              </w:rPr>
            </w:r>
          </w:p>
        </w:tc>
      </w:tr>
    </w:tbl>
    <w:p>
      <w:pPr>
        <w:pBdr>
          <w:bottom w:val="single" w:sz="6" w:space="2" w:color="DDE3EF"/>
        </w:pBdr>
        <w:spacing w:before="280" w:after="120"/>
      </w:pPr>
      <w:r>
        <w:rPr>
          <w:rFonts w:ascii="Calibri" w:hAnsi="Calibri"/>
          <w:b/>
          <w:caps/>
          <w:color w:val="0F2B54"/>
          <w:sz w:val="20"/>
        </w:rPr>
        <w:t>SECTOR ALLOCATION</w:t>
      </w:r>
    </w:p>
    <w:tbl>
      <w:tblPr>
        <w:tblW w:type="auto" w:w="0"/>
        <w:jc w:val="center"/>
        <w:tblBorders>
          <w:top w:val="none" w:sz="0" w:space="0"/>
          <w:left w:val="none" w:sz="0" w:space="0"/>
          <w:bottom w:val="none" w:sz="0" w:space="0"/>
          <w:right w:val="none" w:sz="0" w:space="0"/>
          <w:insideH w:val="none" w:sz="0" w:space="0"/>
          <w:insideV w:val="none" w:sz="0" w:space="0"/>
        </w:tblBorders>
        <w:tblLayout w:type="fixed"/>
        <w:tblLook w:firstColumn="1" w:firstRow="1" w:lastColumn="0" w:lastRow="0" w:noHBand="0" w:noVBand="1" w:val="04A0"/>
      </w:tblPr>
      <w:tblGrid>
        <w:gridCol w:w="3589"/>
        <w:gridCol w:w="3589"/>
        <w:gridCol w:w="3589"/>
      </w:tblGrid>
      <w:tr>
        <w:tc>
          <w:tcPr>
            <w:tcW w:type="dxa" w:w="3515"/>
            <w:tcMar>
              <w:top w:w="30" w:type="dxa"/>
              <w:left w:w="40" w:type="dxa"/>
              <w:bottom w:w="30" w:type="dxa"/>
              <w:right w:w="40" w:type="dxa"/>
            </w:tcMar>
          </w:tcPr>
          <w:p>
            <w:pPr>
              <w:spacing w:after="0" w:before="0"/>
            </w:pPr>
            <w:r>
              <w:rPr>
                <w:rFonts w:ascii="Calibri" w:hAnsi="Calibri" w:eastAsia="Calibri"/>
                <w:b w:val="0"/>
                <w:i w:val="0"/>
                <w:color w:val="1A1A2E"/>
                <w:sz w:val="18"/>
              </w:rPr>
              <w:t>Healthcare</w:t>
            </w:r>
          </w:p>
        </w:tc>
        <w:tc>
          <w:tcPr>
            <w:tcW w:type="dxa" w:w="5669"/>
            <w:tcMar>
              <w:top w:w="30" w:type="dxa"/>
              <w:left w:w="40" w:type="dxa"/>
              <w:bottom w:w="30" w:type="dxa"/>
              <w:right w:w="40" w:type="dxa"/>
            </w:tcMar>
          </w:tcPr>
          <w:p>
            <w:pPr>
              <w:spacing w:after="0"/>
            </w:pPr>
            <w:r>
              <w:rPr>
                <w:rFonts w:ascii="Consolas" w:hAnsi="Consolas" w:eastAsia="Consolas"/>
                <w:color w:val="1A73E8"/>
                <w:sz w:val="16"/>
              </w:rPr>
              <w:t>██████████████████████████████████████</w:t>
            </w:r>
          </w:p>
        </w:tc>
        <w:tc>
          <w:tcPr>
            <w:tcW w:type="dxa" w:w="1247"/>
            <w:tcMar>
              <w:top w:w="30" w:type="dxa"/>
              <w:left w:w="40" w:type="dxa"/>
              <w:bottom w:w="30" w:type="dxa"/>
              <w:right w:w="40" w:type="dxa"/>
            </w:tcMar>
          </w:tcPr>
          <w:p>
            <w:pPr>
              <w:spacing w:after="0" w:before="0"/>
              <w:jc w:val="right"/>
            </w:pPr>
            <w:r>
              <w:rPr>
                <w:rFonts w:ascii="Consolas" w:hAnsi="Consolas" w:eastAsia="Consolas"/>
                <w:b/>
                <w:i w:val="0"/>
                <w:color w:val="1A1A2E"/>
                <w:sz w:val="18"/>
              </w:rPr>
              <w:t>24.4%</w:t>
            </w:r>
          </w:p>
        </w:tc>
      </w:tr>
      <w:tr>
        <w:tc>
          <w:tcPr>
            <w:tcW w:type="dxa" w:w="3515"/>
            <w:tcMar>
              <w:top w:w="30" w:type="dxa"/>
              <w:left w:w="40" w:type="dxa"/>
              <w:bottom w:w="30" w:type="dxa"/>
              <w:right w:w="40" w:type="dxa"/>
            </w:tcMar>
          </w:tcPr>
          <w:p>
            <w:pPr>
              <w:spacing w:after="0" w:before="0"/>
            </w:pPr>
            <w:r>
              <w:rPr>
                <w:rFonts w:ascii="Calibri" w:hAnsi="Calibri" w:eastAsia="Calibri"/>
                <w:b w:val="0"/>
                <w:i w:val="0"/>
                <w:color w:val="1A1A2E"/>
                <w:sz w:val="18"/>
              </w:rPr>
              <w:t>Automobile and Auto Components</w:t>
            </w:r>
          </w:p>
        </w:tc>
        <w:tc>
          <w:tcPr>
            <w:tcW w:type="dxa" w:w="5669"/>
            <w:tcMar>
              <w:top w:w="30" w:type="dxa"/>
              <w:left w:w="40" w:type="dxa"/>
              <w:bottom w:w="30" w:type="dxa"/>
              <w:right w:w="40" w:type="dxa"/>
            </w:tcMar>
          </w:tcPr>
          <w:p>
            <w:pPr>
              <w:spacing w:after="0"/>
            </w:pPr>
            <w:r>
              <w:rPr>
                <w:rFonts w:ascii="Consolas" w:hAnsi="Consolas" w:eastAsia="Consolas"/>
                <w:color w:val="34A853"/>
                <w:sz w:val="16"/>
              </w:rPr>
              <w:t>███████████████████████████████████</w:t>
            </w:r>
          </w:p>
        </w:tc>
        <w:tc>
          <w:tcPr>
            <w:tcW w:type="dxa" w:w="1247"/>
            <w:tcMar>
              <w:top w:w="30" w:type="dxa"/>
              <w:left w:w="40" w:type="dxa"/>
              <w:bottom w:w="30" w:type="dxa"/>
              <w:right w:w="40" w:type="dxa"/>
            </w:tcMar>
          </w:tcPr>
          <w:p>
            <w:pPr>
              <w:spacing w:after="0" w:before="0"/>
              <w:jc w:val="right"/>
            </w:pPr>
            <w:r>
              <w:rPr>
                <w:rFonts w:ascii="Consolas" w:hAnsi="Consolas" w:eastAsia="Consolas"/>
                <w:b/>
                <w:i w:val="0"/>
                <w:color w:val="1A1A2E"/>
                <w:sz w:val="18"/>
              </w:rPr>
              <w:t>22.6%</w:t>
            </w:r>
          </w:p>
        </w:tc>
      </w:tr>
      <w:tr>
        <w:tc>
          <w:tcPr>
            <w:tcW w:type="dxa" w:w="3515"/>
            <w:tcMar>
              <w:top w:w="30" w:type="dxa"/>
              <w:left w:w="40" w:type="dxa"/>
              <w:bottom w:w="30" w:type="dxa"/>
              <w:right w:w="40" w:type="dxa"/>
            </w:tcMar>
          </w:tcPr>
          <w:p>
            <w:pPr>
              <w:spacing w:after="0" w:before="0"/>
            </w:pPr>
            <w:r>
              <w:rPr>
                <w:rFonts w:ascii="Calibri" w:hAnsi="Calibri" w:eastAsia="Calibri"/>
                <w:b w:val="0"/>
                <w:i w:val="0"/>
                <w:color w:val="1A1A2E"/>
                <w:sz w:val="18"/>
              </w:rPr>
              <w:t>Financial Services</w:t>
            </w:r>
          </w:p>
        </w:tc>
        <w:tc>
          <w:tcPr>
            <w:tcW w:type="dxa" w:w="5669"/>
            <w:tcMar>
              <w:top w:w="30" w:type="dxa"/>
              <w:left w:w="40" w:type="dxa"/>
              <w:bottom w:w="30" w:type="dxa"/>
              <w:right w:w="40" w:type="dxa"/>
            </w:tcMar>
          </w:tcPr>
          <w:p>
            <w:pPr>
              <w:spacing w:after="0"/>
            </w:pPr>
            <w:r>
              <w:rPr>
                <w:rFonts w:ascii="Consolas" w:hAnsi="Consolas" w:eastAsia="Consolas"/>
                <w:color w:val="FBBC04"/>
                <w:sz w:val="16"/>
              </w:rPr>
              <w:t>███████████████████████████████</w:t>
            </w:r>
          </w:p>
        </w:tc>
        <w:tc>
          <w:tcPr>
            <w:tcW w:type="dxa" w:w="1247"/>
            <w:tcMar>
              <w:top w:w="30" w:type="dxa"/>
              <w:left w:w="40" w:type="dxa"/>
              <w:bottom w:w="30" w:type="dxa"/>
              <w:right w:w="40" w:type="dxa"/>
            </w:tcMar>
          </w:tcPr>
          <w:p>
            <w:pPr>
              <w:spacing w:after="0" w:before="0"/>
              <w:jc w:val="right"/>
            </w:pPr>
            <w:r>
              <w:rPr>
                <w:rFonts w:ascii="Consolas" w:hAnsi="Consolas" w:eastAsia="Consolas"/>
                <w:b/>
                <w:i w:val="0"/>
                <w:color w:val="1A1A2E"/>
                <w:sz w:val="18"/>
              </w:rPr>
              <w:t>19.8%</w:t>
            </w:r>
          </w:p>
        </w:tc>
      </w:tr>
      <w:tr>
        <w:tc>
          <w:tcPr>
            <w:tcW w:type="dxa" w:w="3515"/>
            <w:tcMar>
              <w:top w:w="30" w:type="dxa"/>
              <w:left w:w="40" w:type="dxa"/>
              <w:bottom w:w="30" w:type="dxa"/>
              <w:right w:w="40" w:type="dxa"/>
            </w:tcMar>
          </w:tcPr>
          <w:p>
            <w:pPr>
              <w:spacing w:after="0" w:before="0"/>
            </w:pPr>
            <w:r>
              <w:rPr>
                <w:rFonts w:ascii="Calibri" w:hAnsi="Calibri" w:eastAsia="Calibri"/>
                <w:b w:val="0"/>
                <w:i w:val="0"/>
                <w:color w:val="1A1A2E"/>
                <w:sz w:val="18"/>
              </w:rPr>
              <w:t>Capital Goods</w:t>
            </w:r>
          </w:p>
        </w:tc>
        <w:tc>
          <w:tcPr>
            <w:tcW w:type="dxa" w:w="5669"/>
            <w:tcMar>
              <w:top w:w="30" w:type="dxa"/>
              <w:left w:w="40" w:type="dxa"/>
              <w:bottom w:w="30" w:type="dxa"/>
              <w:right w:w="40" w:type="dxa"/>
            </w:tcMar>
          </w:tcPr>
          <w:p>
            <w:pPr>
              <w:spacing w:after="0"/>
            </w:pPr>
            <w:r>
              <w:rPr>
                <w:rFonts w:ascii="Consolas" w:hAnsi="Consolas" w:eastAsia="Consolas"/>
                <w:color w:val="EA4335"/>
                <w:sz w:val="16"/>
              </w:rPr>
              <w:t>██████████████████████</w:t>
            </w:r>
          </w:p>
        </w:tc>
        <w:tc>
          <w:tcPr>
            <w:tcW w:type="dxa" w:w="1247"/>
            <w:tcMar>
              <w:top w:w="30" w:type="dxa"/>
              <w:left w:w="40" w:type="dxa"/>
              <w:bottom w:w="30" w:type="dxa"/>
              <w:right w:w="40" w:type="dxa"/>
            </w:tcMar>
          </w:tcPr>
          <w:p>
            <w:pPr>
              <w:spacing w:after="0" w:before="0"/>
              <w:jc w:val="right"/>
            </w:pPr>
            <w:r>
              <w:rPr>
                <w:rFonts w:ascii="Consolas" w:hAnsi="Consolas" w:eastAsia="Consolas"/>
                <w:b/>
                <w:i w:val="0"/>
                <w:color w:val="1A1A2E"/>
                <w:sz w:val="18"/>
              </w:rPr>
              <w:t>14.1%</w:t>
            </w:r>
          </w:p>
        </w:tc>
      </w:tr>
      <w:tr>
        <w:tc>
          <w:tcPr>
            <w:tcW w:type="dxa" w:w="3515"/>
            <w:tcMar>
              <w:top w:w="30" w:type="dxa"/>
              <w:left w:w="40" w:type="dxa"/>
              <w:bottom w:w="30" w:type="dxa"/>
              <w:right w:w="40" w:type="dxa"/>
            </w:tcMar>
          </w:tcPr>
          <w:p>
            <w:pPr>
              <w:spacing w:after="0" w:before="0"/>
            </w:pPr>
            <w:r>
              <w:rPr>
                <w:rFonts w:ascii="Calibri" w:hAnsi="Calibri" w:eastAsia="Calibri"/>
                <w:b w:val="0"/>
                <w:i w:val="0"/>
                <w:color w:val="1A1A2E"/>
                <w:sz w:val="18"/>
              </w:rPr>
              <w:t>Consumer Services</w:t>
            </w:r>
          </w:p>
        </w:tc>
        <w:tc>
          <w:tcPr>
            <w:tcW w:type="dxa" w:w="5669"/>
            <w:tcMar>
              <w:top w:w="30" w:type="dxa"/>
              <w:left w:w="40" w:type="dxa"/>
              <w:bottom w:w="30" w:type="dxa"/>
              <w:right w:w="40" w:type="dxa"/>
            </w:tcMar>
          </w:tcPr>
          <w:p>
            <w:pPr>
              <w:spacing w:after="0"/>
            </w:pPr>
            <w:r>
              <w:rPr>
                <w:rFonts w:ascii="Consolas" w:hAnsi="Consolas" w:eastAsia="Consolas"/>
                <w:color w:val="9C27B0"/>
                <w:sz w:val="16"/>
              </w:rPr>
              <w:t>████████████</w:t>
            </w:r>
          </w:p>
        </w:tc>
        <w:tc>
          <w:tcPr>
            <w:tcW w:type="dxa" w:w="1247"/>
            <w:tcMar>
              <w:top w:w="30" w:type="dxa"/>
              <w:left w:w="40" w:type="dxa"/>
              <w:bottom w:w="30" w:type="dxa"/>
              <w:right w:w="40" w:type="dxa"/>
            </w:tcMar>
          </w:tcPr>
          <w:p>
            <w:pPr>
              <w:spacing w:after="0" w:before="0"/>
              <w:jc w:val="right"/>
            </w:pPr>
            <w:r>
              <w:rPr>
                <w:rFonts w:ascii="Consolas" w:hAnsi="Consolas" w:eastAsia="Consolas"/>
                <w:b/>
                <w:i w:val="0"/>
                <w:color w:val="1A1A2E"/>
                <w:sz w:val="18"/>
              </w:rPr>
              <w:t>7.4%</w:t>
            </w:r>
          </w:p>
        </w:tc>
      </w:tr>
      <w:tr>
        <w:tc>
          <w:tcPr>
            <w:tcW w:type="dxa" w:w="3515"/>
            <w:tcMar>
              <w:top w:w="30" w:type="dxa"/>
              <w:left w:w="40" w:type="dxa"/>
              <w:bottom w:w="30" w:type="dxa"/>
              <w:right w:w="40" w:type="dxa"/>
            </w:tcMar>
          </w:tcPr>
          <w:p>
            <w:pPr>
              <w:spacing w:after="0" w:before="0"/>
            </w:pPr>
            <w:r>
              <w:rPr>
                <w:rFonts w:ascii="Calibri" w:hAnsi="Calibri" w:eastAsia="Calibri"/>
                <w:b w:val="0"/>
                <w:i w:val="0"/>
                <w:color w:val="1A1A2E"/>
                <w:sz w:val="18"/>
              </w:rPr>
              <w:t>Consumer Durables</w:t>
            </w:r>
          </w:p>
        </w:tc>
        <w:tc>
          <w:tcPr>
            <w:tcW w:type="dxa" w:w="5669"/>
            <w:tcMar>
              <w:top w:w="30" w:type="dxa"/>
              <w:left w:w="40" w:type="dxa"/>
              <w:bottom w:w="30" w:type="dxa"/>
              <w:right w:w="40" w:type="dxa"/>
            </w:tcMar>
          </w:tcPr>
          <w:p>
            <w:pPr>
              <w:spacing w:after="0"/>
            </w:pPr>
            <w:r>
              <w:rPr>
                <w:rFonts w:ascii="Consolas" w:hAnsi="Consolas" w:eastAsia="Consolas"/>
                <w:color w:val="00BCD4"/>
                <w:sz w:val="16"/>
              </w:rPr>
              <w:t>███████</w:t>
            </w:r>
          </w:p>
        </w:tc>
        <w:tc>
          <w:tcPr>
            <w:tcW w:type="dxa" w:w="1247"/>
            <w:tcMar>
              <w:top w:w="30" w:type="dxa"/>
              <w:left w:w="40" w:type="dxa"/>
              <w:bottom w:w="30" w:type="dxa"/>
              <w:right w:w="40" w:type="dxa"/>
            </w:tcMar>
          </w:tcPr>
          <w:p>
            <w:pPr>
              <w:spacing w:after="0" w:before="0"/>
              <w:jc w:val="right"/>
            </w:pPr>
            <w:r>
              <w:rPr>
                <w:rFonts w:ascii="Consolas" w:hAnsi="Consolas" w:eastAsia="Consolas"/>
                <w:b/>
                <w:i w:val="0"/>
                <w:color w:val="1A1A2E"/>
                <w:sz w:val="18"/>
              </w:rPr>
              <w:t>4.8%</w:t>
            </w:r>
          </w:p>
        </w:tc>
      </w:tr>
      <w:tr>
        <w:tc>
          <w:tcPr>
            <w:tcW w:type="dxa" w:w="3515"/>
            <w:tcMar>
              <w:top w:w="30" w:type="dxa"/>
              <w:left w:w="40" w:type="dxa"/>
              <w:bottom w:w="30" w:type="dxa"/>
              <w:right w:w="40" w:type="dxa"/>
            </w:tcMar>
          </w:tcPr>
          <w:p>
            <w:pPr>
              <w:spacing w:after="0" w:before="0"/>
            </w:pPr>
            <w:r>
              <w:rPr>
                <w:rFonts w:ascii="Calibri" w:hAnsi="Calibri" w:eastAsia="Calibri"/>
                <w:b w:val="0"/>
                <w:i w:val="0"/>
                <w:color w:val="1A1A2E"/>
                <w:sz w:val="18"/>
              </w:rPr>
              <w:t>Fast Moving Consumer Goods</w:t>
            </w:r>
          </w:p>
        </w:tc>
        <w:tc>
          <w:tcPr>
            <w:tcW w:type="dxa" w:w="5669"/>
            <w:tcMar>
              <w:top w:w="30" w:type="dxa"/>
              <w:left w:w="40" w:type="dxa"/>
              <w:bottom w:w="30" w:type="dxa"/>
              <w:right w:w="40" w:type="dxa"/>
            </w:tcMar>
          </w:tcPr>
          <w:p>
            <w:pPr>
              <w:spacing w:after="0"/>
            </w:pPr>
            <w:r>
              <w:rPr>
                <w:rFonts w:ascii="Consolas" w:hAnsi="Consolas" w:eastAsia="Consolas"/>
                <w:color w:val="FF5722"/>
                <w:sz w:val="16"/>
              </w:rPr>
              <w:t>███████</w:t>
            </w:r>
          </w:p>
        </w:tc>
        <w:tc>
          <w:tcPr>
            <w:tcW w:type="dxa" w:w="1247"/>
            <w:tcMar>
              <w:top w:w="30" w:type="dxa"/>
              <w:left w:w="40" w:type="dxa"/>
              <w:bottom w:w="30" w:type="dxa"/>
              <w:right w:w="40" w:type="dxa"/>
            </w:tcMar>
          </w:tcPr>
          <w:p>
            <w:pPr>
              <w:spacing w:after="0" w:before="0"/>
              <w:jc w:val="right"/>
            </w:pPr>
            <w:r>
              <w:rPr>
                <w:rFonts w:ascii="Consolas" w:hAnsi="Consolas" w:eastAsia="Consolas"/>
                <w:b/>
                <w:i w:val="0"/>
                <w:color w:val="1A1A2E"/>
                <w:sz w:val="18"/>
              </w:rPr>
              <w:t>4.5%</w:t>
            </w:r>
          </w:p>
        </w:tc>
      </w:tr>
      <w:tr>
        <w:tc>
          <w:tcPr>
            <w:tcW w:type="dxa" w:w="3515"/>
            <w:tcMar>
              <w:top w:w="30" w:type="dxa"/>
              <w:left w:w="40" w:type="dxa"/>
              <w:bottom w:w="30" w:type="dxa"/>
              <w:right w:w="40" w:type="dxa"/>
            </w:tcMar>
          </w:tcPr>
          <w:p>
            <w:pPr>
              <w:spacing w:after="0" w:before="0"/>
            </w:pPr>
            <w:r>
              <w:rPr>
                <w:rFonts w:ascii="Calibri" w:hAnsi="Calibri" w:eastAsia="Calibri"/>
                <w:b w:val="0"/>
                <w:i w:val="0"/>
                <w:color w:val="1A1A2E"/>
                <w:sz w:val="18"/>
              </w:rPr>
              <w:t>Chemicals</w:t>
            </w:r>
          </w:p>
        </w:tc>
        <w:tc>
          <w:tcPr>
            <w:tcW w:type="dxa" w:w="5669"/>
            <w:tcMar>
              <w:top w:w="30" w:type="dxa"/>
              <w:left w:w="40" w:type="dxa"/>
              <w:bottom w:w="30" w:type="dxa"/>
              <w:right w:w="40" w:type="dxa"/>
            </w:tcMar>
          </w:tcPr>
          <w:p>
            <w:pPr>
              <w:spacing w:after="0"/>
            </w:pPr>
            <w:r>
              <w:rPr>
                <w:rFonts w:ascii="Consolas" w:hAnsi="Consolas" w:eastAsia="Consolas"/>
                <w:color w:val="607D8B"/>
                <w:sz w:val="16"/>
              </w:rPr>
              <w:t>███</w:t>
            </w:r>
          </w:p>
        </w:tc>
        <w:tc>
          <w:tcPr>
            <w:tcW w:type="dxa" w:w="1247"/>
            <w:tcMar>
              <w:top w:w="30" w:type="dxa"/>
              <w:left w:w="40" w:type="dxa"/>
              <w:bottom w:w="30" w:type="dxa"/>
              <w:right w:w="40" w:type="dxa"/>
            </w:tcMar>
          </w:tcPr>
          <w:p>
            <w:pPr>
              <w:spacing w:after="0" w:before="0"/>
              <w:jc w:val="right"/>
            </w:pPr>
            <w:r>
              <w:rPr>
                <w:rFonts w:ascii="Consolas" w:hAnsi="Consolas" w:eastAsia="Consolas"/>
                <w:b/>
                <w:i w:val="0"/>
                <w:color w:val="1A1A2E"/>
                <w:sz w:val="18"/>
              </w:rPr>
              <w:t>1.7%</w:t>
            </w:r>
          </w:p>
        </w:tc>
      </w:tr>
      <w:tr>
        <w:tc>
          <w:tcPr>
            <w:tcW w:type="dxa" w:w="3515"/>
            <w:tcMar>
              <w:top w:w="30" w:type="dxa"/>
              <w:left w:w="40" w:type="dxa"/>
              <w:bottom w:w="30" w:type="dxa"/>
              <w:right w:w="40" w:type="dxa"/>
            </w:tcMar>
          </w:tcPr>
          <w:p>
            <w:pPr>
              <w:spacing w:after="0" w:before="0"/>
            </w:pPr>
            <w:r>
              <w:rPr>
                <w:rFonts w:ascii="Calibri" w:hAnsi="Calibri" w:eastAsia="Calibri"/>
                <w:b w:val="0"/>
                <w:i w:val="0"/>
                <w:color w:val="1A1A2E"/>
                <w:sz w:val="18"/>
              </w:rPr>
              <w:t>Textiles</w:t>
            </w:r>
          </w:p>
        </w:tc>
        <w:tc>
          <w:tcPr>
            <w:tcW w:type="dxa" w:w="5669"/>
            <w:tcMar>
              <w:top w:w="30" w:type="dxa"/>
              <w:left w:w="40" w:type="dxa"/>
              <w:bottom w:w="30" w:type="dxa"/>
              <w:right w:w="40" w:type="dxa"/>
            </w:tcMar>
          </w:tcPr>
          <w:p>
            <w:pPr>
              <w:spacing w:after="0"/>
            </w:pPr>
            <w:r>
              <w:rPr>
                <w:rFonts w:ascii="Consolas" w:hAnsi="Consolas" w:eastAsia="Consolas"/>
                <w:color w:val="795548"/>
                <w:sz w:val="16"/>
              </w:rPr>
              <w:t>█</w:t>
            </w:r>
          </w:p>
        </w:tc>
        <w:tc>
          <w:tcPr>
            <w:tcW w:type="dxa" w:w="1247"/>
            <w:tcMar>
              <w:top w:w="30" w:type="dxa"/>
              <w:left w:w="40" w:type="dxa"/>
              <w:bottom w:w="30" w:type="dxa"/>
              <w:right w:w="40" w:type="dxa"/>
            </w:tcMar>
          </w:tcPr>
          <w:p>
            <w:pPr>
              <w:spacing w:after="0" w:before="0"/>
              <w:jc w:val="right"/>
            </w:pPr>
            <w:r>
              <w:rPr>
                <w:rFonts w:ascii="Consolas" w:hAnsi="Consolas" w:eastAsia="Consolas"/>
                <w:b/>
                <w:i w:val="0"/>
                <w:color w:val="1A1A2E"/>
                <w:sz w:val="18"/>
              </w:rPr>
              <w:t>0.7%</w:t>
            </w:r>
          </w:p>
        </w:tc>
      </w:tr>
    </w:tbl>
    <w:p>
      <w:r>
        <w:br w:type="page"/>
      </w:r>
    </w:p>
    <w:p>
      <w:pPr>
        <w:pBdr>
          <w:bottom w:val="single" w:sz="6" w:space="2" w:color="DDE3EF"/>
        </w:pBdr>
        <w:spacing w:before="280" w:after="120"/>
      </w:pPr>
      <w:r>
        <w:rPr>
          <w:rFonts w:ascii="Calibri" w:hAnsi="Calibri"/>
          <w:b/>
          <w:caps/>
          <w:color w:val="0F2B54"/>
          <w:sz w:val="20"/>
        </w:rPr>
        <w:t>CURRENT HOLDINGS — 30 STOCKS · AUGUST 2026</w:t>
      </w:r>
    </w:p>
    <w:tbl>
      <w:tblPr>
        <w:tblW w:type="auto" w:w="0"/>
        <w:jc w:val="center"/>
        <w:tblBorders>
          <w:top w:val="none" w:sz="0" w:space="0"/>
          <w:left w:val="none" w:sz="0" w:space="0"/>
          <w:bottom w:val="single" w:sz="4" w:color="DDE3EF" w:space="0"/>
          <w:right w:val="none" w:sz="0" w:space="0"/>
          <w:insideH w:val="single" w:sz="4" w:color="DDE3EF" w:space="0"/>
          <w:insideV w:val="none" w:sz="0" w:space="0"/>
        </w:tblBorders>
        <w:tblLayout w:type="fixed"/>
        <w:tblLook w:firstColumn="1" w:firstRow="1" w:lastColumn="0" w:lastRow="0" w:noHBand="0" w:noVBand="1" w:val="04A0"/>
      </w:tblPr>
      <w:tblGrid>
        <w:gridCol w:w="1794"/>
        <w:gridCol w:w="1794"/>
        <w:gridCol w:w="1794"/>
        <w:gridCol w:w="1794"/>
        <w:gridCol w:w="1794"/>
        <w:gridCol w:w="1794"/>
      </w:tblGrid>
      <w:tr>
        <w:trPr>
          <w:tblHeader/>
        </w:trPr>
        <w:tc>
          <w:tcPr>
            <w:tcW w:type="dxa" w:w="567"/>
            <w:shd w:val="clear" w:color="auto" w:fill="0F2B54"/>
            <w:tcMar>
              <w:top w:w="70" w:type="dxa"/>
              <w:left w:w="70" w:type="dxa"/>
              <w:bottom w:w="70" w:type="dxa"/>
              <w:right w:w="70" w:type="dxa"/>
            </w:tcMar>
          </w:tcPr>
          <w:p>
            <w:pPr>
              <w:spacing w:after="0" w:before="0"/>
              <w:jc w:val="center"/>
            </w:pPr>
            <w:r>
              <w:rPr>
                <w:rFonts w:ascii="Calibri" w:hAnsi="Calibri" w:eastAsia="Calibri"/>
                <w:b/>
                <w:i w:val="0"/>
                <w:color w:val="FFFFFF"/>
                <w:sz w:val="16"/>
              </w:rPr>
              <w:t>#</w:t>
            </w:r>
          </w:p>
        </w:tc>
        <w:tc>
          <w:tcPr>
            <w:tcW w:type="dxa" w:w="2835"/>
            <w:shd w:val="clear" w:color="auto" w:fill="0F2B54"/>
            <w:tcMar>
              <w:top w:w="70" w:type="dxa"/>
              <w:left w:w="70" w:type="dxa"/>
              <w:bottom w:w="70" w:type="dxa"/>
              <w:right w:w="70" w:type="dxa"/>
            </w:tcMar>
          </w:tcPr>
          <w:p>
            <w:pPr>
              <w:spacing w:after="0" w:before="0"/>
            </w:pPr>
            <w:r>
              <w:rPr>
                <w:rFonts w:ascii="Calibri" w:hAnsi="Calibri" w:eastAsia="Calibri"/>
                <w:b/>
                <w:i w:val="0"/>
                <w:color w:val="FFFFFF"/>
                <w:sz w:val="16"/>
              </w:rPr>
              <w:t>STOCK</w:t>
            </w:r>
          </w:p>
        </w:tc>
        <w:tc>
          <w:tcPr>
            <w:tcW w:type="dxa" w:w="3402"/>
            <w:shd w:val="clear" w:color="auto" w:fill="0F2B54"/>
            <w:tcMar>
              <w:top w:w="70" w:type="dxa"/>
              <w:left w:w="70" w:type="dxa"/>
              <w:bottom w:w="70" w:type="dxa"/>
              <w:right w:w="70" w:type="dxa"/>
            </w:tcMar>
          </w:tcPr>
          <w:p>
            <w:pPr>
              <w:spacing w:after="0" w:before="0"/>
            </w:pPr>
            <w:r>
              <w:rPr>
                <w:rFonts w:ascii="Calibri" w:hAnsi="Calibri" w:eastAsia="Calibri"/>
                <w:b/>
                <w:i w:val="0"/>
                <w:color w:val="FFFFFF"/>
                <w:sz w:val="16"/>
              </w:rPr>
              <w:t>SECTOR</w:t>
            </w:r>
          </w:p>
        </w:tc>
        <w:tc>
          <w:tcPr>
            <w:tcW w:type="dxa" w:w="1191"/>
            <w:shd w:val="clear" w:color="auto" w:fill="0F2B54"/>
            <w:tcMar>
              <w:top w:w="70" w:type="dxa"/>
              <w:left w:w="70" w:type="dxa"/>
              <w:bottom w:w="70" w:type="dxa"/>
              <w:right w:w="70" w:type="dxa"/>
            </w:tcMar>
          </w:tcPr>
          <w:p>
            <w:pPr>
              <w:spacing w:after="0" w:before="0"/>
              <w:jc w:val="center"/>
            </w:pPr>
            <w:r>
              <w:rPr>
                <w:rFonts w:ascii="Calibri" w:hAnsi="Calibri" w:eastAsia="Calibri"/>
                <w:b/>
                <w:i w:val="0"/>
                <w:color w:val="FFFFFF"/>
                <w:sz w:val="16"/>
              </w:rPr>
              <w:t>WEIGHT</w:t>
            </w:r>
          </w:p>
        </w:tc>
        <w:tc>
          <w:tcPr>
            <w:tcW w:type="dxa" w:w="1417"/>
            <w:shd w:val="clear" w:color="auto" w:fill="0F2B54"/>
            <w:tcMar>
              <w:top w:w="70" w:type="dxa"/>
              <w:left w:w="70" w:type="dxa"/>
              <w:bottom w:w="70" w:type="dxa"/>
              <w:right w:w="70" w:type="dxa"/>
            </w:tcMar>
          </w:tcPr>
          <w:p>
            <w:pPr>
              <w:spacing w:after="0" w:before="0"/>
              <w:jc w:val="center"/>
            </w:pPr>
            <w:r>
              <w:rPr>
                <w:rFonts w:ascii="Calibri" w:hAnsi="Calibri" w:eastAsia="Calibri"/>
                <w:b/>
                <w:i w:val="0"/>
                <w:color w:val="FFFFFF"/>
                <w:sz w:val="16"/>
              </w:rPr>
              <w:t>LTP (₹)</w:t>
            </w:r>
          </w:p>
        </w:tc>
        <w:tc>
          <w:tcPr>
            <w:tcW w:type="dxa" w:w="1020"/>
            <w:shd w:val="clear" w:color="auto" w:fill="0F2B54"/>
            <w:tcMar>
              <w:top w:w="70" w:type="dxa"/>
              <w:left w:w="70" w:type="dxa"/>
              <w:bottom w:w="70" w:type="dxa"/>
              <w:right w:w="70" w:type="dxa"/>
            </w:tcMar>
          </w:tcPr>
          <w:p>
            <w:pPr>
              <w:spacing w:after="0" w:before="0"/>
              <w:jc w:val="center"/>
            </w:pPr>
            <w:r>
              <w:rPr>
                <w:rFonts w:ascii="Calibri" w:hAnsi="Calibri" w:eastAsia="Calibri"/>
                <w:b/>
                <w:i w:val="0"/>
                <w:color w:val="FFFFFF"/>
                <w:sz w:val="16"/>
              </w:rPr>
              <w:t>DAY CHG</w:t>
            </w:r>
          </w:p>
        </w:tc>
      </w:tr>
      <w:tr>
        <w:tc>
          <w:tcPr>
            <w:tcW w:type="dxa" w:w="567"/>
            <w:tcMar>
              <w:top w:w="45" w:type="dxa"/>
              <w:left w:w="70" w:type="dxa"/>
              <w:bottom w:w="45" w:type="dxa"/>
              <w:right w:w="70" w:type="dxa"/>
            </w:tcMar>
          </w:tcPr>
          <w:p>
            <w:pPr>
              <w:spacing w:after="0" w:before="0"/>
              <w:jc w:val="center"/>
            </w:pPr>
            <w:r>
              <w:rPr>
                <w:rFonts w:ascii="Calibri" w:hAnsi="Calibri" w:eastAsia="Calibri"/>
                <w:b w:val="0"/>
                <w:i w:val="0"/>
                <w:color w:val="6B7A99"/>
                <w:sz w:val="16"/>
              </w:rPr>
              <w:t>1</w:t>
            </w:r>
          </w:p>
        </w:tc>
        <w:tc>
          <w:tcPr>
            <w:tcW w:type="dxa" w:w="2835"/>
            <w:tcMar>
              <w:top w:w="45" w:type="dxa"/>
              <w:left w:w="70" w:type="dxa"/>
              <w:bottom w:w="45" w:type="dxa"/>
              <w:right w:w="70" w:type="dxa"/>
            </w:tcMar>
          </w:tcPr>
          <w:p>
            <w:pPr>
              <w:spacing w:after="0" w:before="0"/>
            </w:pPr>
            <w:r>
              <w:rPr>
                <w:rFonts w:ascii="Calibri" w:hAnsi="Calibri" w:eastAsia="Calibri"/>
                <w:b/>
                <w:i w:val="0"/>
                <w:color w:val="0F2B54"/>
                <w:sz w:val="19"/>
              </w:rPr>
              <w:t>ATHERENERG</w:t>
            </w:r>
          </w:p>
        </w:tc>
        <w:tc>
          <w:tcPr>
            <w:tcW w:type="dxa" w:w="3402"/>
            <w:tcMar>
              <w:top w:w="45" w:type="dxa"/>
              <w:left w:w="70" w:type="dxa"/>
              <w:bottom w:w="45" w:type="dxa"/>
              <w:right w:w="70" w:type="dxa"/>
            </w:tcMar>
          </w:tcPr>
          <w:p>
            <w:pPr>
              <w:spacing w:after="0" w:before="0"/>
            </w:pPr>
            <w:r>
              <w:rPr>
                <w:rFonts w:ascii="Calibri" w:hAnsi="Calibri" w:eastAsia="Calibri"/>
                <w:b w:val="0"/>
                <w:i w:val="0"/>
                <w:color w:val="1A1A2E"/>
                <w:sz w:val="17"/>
              </w:rPr>
              <w:t>Automobile and Auto Components</w:t>
            </w:r>
          </w:p>
        </w:tc>
        <w:tc>
          <w:tcPr>
            <w:tcW w:type="dxa" w:w="1191"/>
            <w:tcMar>
              <w:top w:w="45" w:type="dxa"/>
              <w:left w:w="70" w:type="dxa"/>
              <w:bottom w:w="45" w:type="dxa"/>
              <w:right w:w="70" w:type="dxa"/>
            </w:tcMar>
          </w:tcPr>
          <w:p>
            <w:pPr>
              <w:spacing w:after="0" w:before="0"/>
              <w:jc w:val="center"/>
            </w:pPr>
            <w:r>
              <w:rPr>
                <w:rFonts w:ascii="Consolas" w:hAnsi="Consolas" w:eastAsia="Consolas"/>
                <w:b/>
                <w:i w:val="0"/>
                <w:color w:val="1A1A2E"/>
                <w:sz w:val="18"/>
              </w:rPr>
              <w:t>10.0%</w:t>
            </w:r>
          </w:p>
        </w:tc>
        <w:tc>
          <w:tcPr>
            <w:tcW w:type="dxa" w:w="1417"/>
            <w:tcMar>
              <w:top w:w="45" w:type="dxa"/>
              <w:left w:w="70" w:type="dxa"/>
              <w:bottom w:w="45" w:type="dxa"/>
              <w:right w:w="70" w:type="dxa"/>
            </w:tcMar>
          </w:tcPr>
          <w:p>
            <w:pPr>
              <w:spacing w:after="0" w:before="0"/>
              <w:jc w:val="right"/>
            </w:pPr>
            <w:r>
              <w:rPr>
                <w:rFonts w:ascii="Consolas" w:hAnsi="Consolas" w:eastAsia="Consolas"/>
                <w:b w:val="0"/>
                <w:i w:val="0"/>
                <w:color w:val="1A1A2E"/>
                <w:sz w:val="18"/>
              </w:rPr>
              <w:t>₹1,481.50</w:t>
            </w:r>
          </w:p>
        </w:tc>
        <w:tc>
          <w:tcPr>
            <w:tcW w:type="dxa" w:w="1020"/>
            <w:tcMar>
              <w:top w:w="45" w:type="dxa"/>
              <w:left w:w="70" w:type="dxa"/>
              <w:bottom w:w="45" w:type="dxa"/>
              <w:right w:w="70" w:type="dxa"/>
            </w:tcMar>
          </w:tcPr>
          <w:p>
            <w:pPr>
              <w:spacing w:after="0" w:before="0"/>
              <w:jc w:val="right"/>
            </w:pPr>
            <w:r>
              <w:rPr>
                <w:rFonts w:ascii="Consolas" w:hAnsi="Consolas" w:eastAsia="Consolas"/>
                <w:b w:val="0"/>
                <w:i w:val="0"/>
                <w:color w:val="16C784"/>
                <w:sz w:val="18"/>
              </w:rPr>
              <w:t>+1.95%</w:t>
            </w:r>
          </w:p>
        </w:tc>
      </w:tr>
      <w:tr>
        <w:tc>
          <w:tcPr>
            <w:tcW w:type="dxa" w:w="567"/>
            <w:shd w:val="clear" w:color="auto" w:fill="FAFBFD"/>
            <w:tcMar>
              <w:top w:w="45" w:type="dxa"/>
              <w:left w:w="70" w:type="dxa"/>
              <w:bottom w:w="45" w:type="dxa"/>
              <w:right w:w="70" w:type="dxa"/>
            </w:tcMar>
          </w:tcPr>
          <w:p>
            <w:pPr>
              <w:spacing w:after="0" w:before="0"/>
              <w:jc w:val="center"/>
            </w:pPr>
            <w:r>
              <w:rPr>
                <w:rFonts w:ascii="Calibri" w:hAnsi="Calibri" w:eastAsia="Calibri"/>
                <w:b w:val="0"/>
                <w:i w:val="0"/>
                <w:color w:val="6B7A99"/>
                <w:sz w:val="16"/>
              </w:rPr>
              <w:t>2</w:t>
            </w:r>
          </w:p>
        </w:tc>
        <w:tc>
          <w:tcPr>
            <w:tcW w:type="dxa" w:w="2835"/>
            <w:shd w:val="clear" w:color="auto" w:fill="FAFBFD"/>
            <w:tcMar>
              <w:top w:w="45" w:type="dxa"/>
              <w:left w:w="70" w:type="dxa"/>
              <w:bottom w:w="45" w:type="dxa"/>
              <w:right w:w="70" w:type="dxa"/>
            </w:tcMar>
          </w:tcPr>
          <w:p>
            <w:pPr>
              <w:spacing w:after="0" w:before="0"/>
            </w:pPr>
            <w:r>
              <w:rPr>
                <w:rFonts w:ascii="Calibri" w:hAnsi="Calibri" w:eastAsia="Calibri"/>
                <w:b/>
                <w:i w:val="0"/>
                <w:color w:val="0F2B54"/>
                <w:sz w:val="19"/>
              </w:rPr>
              <w:t>PIRAMALFIN</w:t>
            </w:r>
          </w:p>
        </w:tc>
        <w:tc>
          <w:tcPr>
            <w:tcW w:type="dxa" w:w="3402"/>
            <w:shd w:val="clear" w:color="auto" w:fill="FAFBFD"/>
            <w:tcMar>
              <w:top w:w="45" w:type="dxa"/>
              <w:left w:w="70" w:type="dxa"/>
              <w:bottom w:w="45" w:type="dxa"/>
              <w:right w:w="70" w:type="dxa"/>
            </w:tcMar>
          </w:tcPr>
          <w:p>
            <w:pPr>
              <w:spacing w:after="0" w:before="0"/>
            </w:pPr>
            <w:r>
              <w:rPr>
                <w:rFonts w:ascii="Calibri" w:hAnsi="Calibri" w:eastAsia="Calibri"/>
                <w:b w:val="0"/>
                <w:i w:val="0"/>
                <w:color w:val="1A1A2E"/>
                <w:sz w:val="17"/>
              </w:rPr>
              <w:t>Financial Services</w:t>
            </w:r>
          </w:p>
        </w:tc>
        <w:tc>
          <w:tcPr>
            <w:tcW w:type="dxa" w:w="1191"/>
            <w:shd w:val="clear" w:color="auto" w:fill="FAFBFD"/>
            <w:tcMar>
              <w:top w:w="45" w:type="dxa"/>
              <w:left w:w="70" w:type="dxa"/>
              <w:bottom w:w="45" w:type="dxa"/>
              <w:right w:w="70" w:type="dxa"/>
            </w:tcMar>
          </w:tcPr>
          <w:p>
            <w:pPr>
              <w:spacing w:after="0" w:before="0"/>
              <w:jc w:val="center"/>
            </w:pPr>
            <w:r>
              <w:rPr>
                <w:rFonts w:ascii="Consolas" w:hAnsi="Consolas" w:eastAsia="Consolas"/>
                <w:b/>
                <w:i w:val="0"/>
                <w:color w:val="1A1A2E"/>
                <w:sz w:val="18"/>
              </w:rPr>
              <w:t>10.0%</w:t>
            </w:r>
          </w:p>
        </w:tc>
        <w:tc>
          <w:tcPr>
            <w:tcW w:type="dxa" w:w="1417"/>
            <w:shd w:val="clear" w:color="auto" w:fill="FAFBFD"/>
            <w:tcMar>
              <w:top w:w="45" w:type="dxa"/>
              <w:left w:w="70" w:type="dxa"/>
              <w:bottom w:w="45" w:type="dxa"/>
              <w:right w:w="70" w:type="dxa"/>
            </w:tcMar>
          </w:tcPr>
          <w:p>
            <w:pPr>
              <w:spacing w:after="0" w:before="0"/>
              <w:jc w:val="right"/>
            </w:pPr>
            <w:r>
              <w:rPr>
                <w:rFonts w:ascii="Consolas" w:hAnsi="Consolas" w:eastAsia="Consolas"/>
                <w:b w:val="0"/>
                <w:i w:val="0"/>
                <w:color w:val="1A1A2E"/>
                <w:sz w:val="18"/>
              </w:rPr>
              <w:t>₹2,109.70</w:t>
            </w:r>
          </w:p>
        </w:tc>
        <w:tc>
          <w:tcPr>
            <w:tcW w:type="dxa" w:w="1020"/>
            <w:shd w:val="clear" w:color="auto" w:fill="FAFBFD"/>
            <w:tcMar>
              <w:top w:w="45" w:type="dxa"/>
              <w:left w:w="70" w:type="dxa"/>
              <w:bottom w:w="45" w:type="dxa"/>
              <w:right w:w="70" w:type="dxa"/>
            </w:tcMar>
          </w:tcPr>
          <w:p>
            <w:pPr>
              <w:spacing w:after="0" w:before="0"/>
              <w:jc w:val="right"/>
            </w:pPr>
            <w:r>
              <w:rPr>
                <w:rFonts w:ascii="Consolas" w:hAnsi="Consolas" w:eastAsia="Consolas"/>
                <w:b w:val="0"/>
                <w:i w:val="0"/>
                <w:color w:val="16C784"/>
                <w:sz w:val="18"/>
              </w:rPr>
              <w:t>+0.00%</w:t>
            </w:r>
          </w:p>
        </w:tc>
      </w:tr>
      <w:tr>
        <w:tc>
          <w:tcPr>
            <w:tcW w:type="dxa" w:w="567"/>
            <w:tcMar>
              <w:top w:w="45" w:type="dxa"/>
              <w:left w:w="70" w:type="dxa"/>
              <w:bottom w:w="45" w:type="dxa"/>
              <w:right w:w="70" w:type="dxa"/>
            </w:tcMar>
          </w:tcPr>
          <w:p>
            <w:pPr>
              <w:spacing w:after="0" w:before="0"/>
              <w:jc w:val="center"/>
            </w:pPr>
            <w:r>
              <w:rPr>
                <w:rFonts w:ascii="Calibri" w:hAnsi="Calibri" w:eastAsia="Calibri"/>
                <w:b w:val="0"/>
                <w:i w:val="0"/>
                <w:color w:val="6B7A99"/>
                <w:sz w:val="16"/>
              </w:rPr>
              <w:t>3</w:t>
            </w:r>
          </w:p>
        </w:tc>
        <w:tc>
          <w:tcPr>
            <w:tcW w:type="dxa" w:w="2835"/>
            <w:tcMar>
              <w:top w:w="45" w:type="dxa"/>
              <w:left w:w="70" w:type="dxa"/>
              <w:bottom w:w="45" w:type="dxa"/>
              <w:right w:w="70" w:type="dxa"/>
            </w:tcMar>
          </w:tcPr>
          <w:p>
            <w:pPr>
              <w:spacing w:after="0" w:before="0"/>
            </w:pPr>
            <w:r>
              <w:rPr>
                <w:rFonts w:ascii="Calibri" w:hAnsi="Calibri" w:eastAsia="Calibri"/>
                <w:b/>
                <w:i w:val="0"/>
                <w:color w:val="0F2B54"/>
                <w:sz w:val="19"/>
              </w:rPr>
              <w:t>BELRISE</w:t>
            </w:r>
          </w:p>
        </w:tc>
        <w:tc>
          <w:tcPr>
            <w:tcW w:type="dxa" w:w="3402"/>
            <w:tcMar>
              <w:top w:w="45" w:type="dxa"/>
              <w:left w:w="70" w:type="dxa"/>
              <w:bottom w:w="45" w:type="dxa"/>
              <w:right w:w="70" w:type="dxa"/>
            </w:tcMar>
          </w:tcPr>
          <w:p>
            <w:pPr>
              <w:spacing w:after="0" w:before="0"/>
            </w:pPr>
            <w:r>
              <w:rPr>
                <w:rFonts w:ascii="Calibri" w:hAnsi="Calibri" w:eastAsia="Calibri"/>
                <w:b w:val="0"/>
                <w:i w:val="0"/>
                <w:color w:val="1A1A2E"/>
                <w:sz w:val="17"/>
              </w:rPr>
              <w:t>Automobile and Auto Components</w:t>
            </w:r>
          </w:p>
        </w:tc>
        <w:tc>
          <w:tcPr>
            <w:tcW w:type="dxa" w:w="1191"/>
            <w:tcMar>
              <w:top w:w="45" w:type="dxa"/>
              <w:left w:w="70" w:type="dxa"/>
              <w:bottom w:w="45" w:type="dxa"/>
              <w:right w:w="70" w:type="dxa"/>
            </w:tcMar>
          </w:tcPr>
          <w:p>
            <w:pPr>
              <w:spacing w:after="0" w:before="0"/>
              <w:jc w:val="center"/>
            </w:pPr>
            <w:r>
              <w:rPr>
                <w:rFonts w:ascii="Consolas" w:hAnsi="Consolas" w:eastAsia="Consolas"/>
                <w:b/>
                <w:i w:val="0"/>
                <w:color w:val="1A1A2E"/>
                <w:sz w:val="18"/>
              </w:rPr>
              <w:t>10.0%</w:t>
            </w:r>
          </w:p>
        </w:tc>
        <w:tc>
          <w:tcPr>
            <w:tcW w:type="dxa" w:w="1417"/>
            <w:tcMar>
              <w:top w:w="45" w:type="dxa"/>
              <w:left w:w="70" w:type="dxa"/>
              <w:bottom w:w="45" w:type="dxa"/>
              <w:right w:w="70" w:type="dxa"/>
            </w:tcMar>
          </w:tcPr>
          <w:p>
            <w:pPr>
              <w:spacing w:after="0" w:before="0"/>
              <w:jc w:val="right"/>
            </w:pPr>
            <w:r>
              <w:rPr>
                <w:rFonts w:ascii="Consolas" w:hAnsi="Consolas" w:eastAsia="Consolas"/>
                <w:b w:val="0"/>
                <w:i w:val="0"/>
                <w:color w:val="1A1A2E"/>
                <w:sz w:val="18"/>
              </w:rPr>
              <w:t>₹248.21</w:t>
            </w:r>
          </w:p>
        </w:tc>
        <w:tc>
          <w:tcPr>
            <w:tcW w:type="dxa" w:w="1020"/>
            <w:tcMar>
              <w:top w:w="45" w:type="dxa"/>
              <w:left w:w="70" w:type="dxa"/>
              <w:bottom w:w="45" w:type="dxa"/>
              <w:right w:w="70" w:type="dxa"/>
            </w:tcMar>
          </w:tcPr>
          <w:p>
            <w:pPr>
              <w:spacing w:after="0" w:before="0"/>
              <w:jc w:val="right"/>
            </w:pPr>
            <w:r>
              <w:rPr>
                <w:rFonts w:ascii="Consolas" w:hAnsi="Consolas" w:eastAsia="Consolas"/>
                <w:b w:val="0"/>
                <w:i w:val="0"/>
                <w:color w:val="16C784"/>
                <w:sz w:val="18"/>
              </w:rPr>
              <w:t>+1.47%</w:t>
            </w:r>
          </w:p>
        </w:tc>
      </w:tr>
      <w:tr>
        <w:tc>
          <w:tcPr>
            <w:tcW w:type="dxa" w:w="567"/>
            <w:shd w:val="clear" w:color="auto" w:fill="FAFBFD"/>
            <w:tcMar>
              <w:top w:w="45" w:type="dxa"/>
              <w:left w:w="70" w:type="dxa"/>
              <w:bottom w:w="45" w:type="dxa"/>
              <w:right w:w="70" w:type="dxa"/>
            </w:tcMar>
          </w:tcPr>
          <w:p>
            <w:pPr>
              <w:spacing w:after="0" w:before="0"/>
              <w:jc w:val="center"/>
            </w:pPr>
            <w:r>
              <w:rPr>
                <w:rFonts w:ascii="Calibri" w:hAnsi="Calibri" w:eastAsia="Calibri"/>
                <w:b w:val="0"/>
                <w:i w:val="0"/>
                <w:color w:val="6B7A99"/>
                <w:sz w:val="16"/>
              </w:rPr>
              <w:t>4</w:t>
            </w:r>
          </w:p>
        </w:tc>
        <w:tc>
          <w:tcPr>
            <w:tcW w:type="dxa" w:w="2835"/>
            <w:shd w:val="clear" w:color="auto" w:fill="FAFBFD"/>
            <w:tcMar>
              <w:top w:w="45" w:type="dxa"/>
              <w:left w:w="70" w:type="dxa"/>
              <w:bottom w:w="45" w:type="dxa"/>
              <w:right w:w="70" w:type="dxa"/>
            </w:tcMar>
          </w:tcPr>
          <w:p>
            <w:pPr>
              <w:spacing w:after="0" w:before="0"/>
            </w:pPr>
            <w:r>
              <w:rPr>
                <w:rFonts w:ascii="Calibri" w:hAnsi="Calibri" w:eastAsia="Calibri"/>
                <w:b/>
                <w:i w:val="0"/>
                <w:color w:val="0F2B54"/>
                <w:sz w:val="19"/>
              </w:rPr>
              <w:t>CORONA</w:t>
            </w:r>
          </w:p>
        </w:tc>
        <w:tc>
          <w:tcPr>
            <w:tcW w:type="dxa" w:w="3402"/>
            <w:shd w:val="clear" w:color="auto" w:fill="FAFBFD"/>
            <w:tcMar>
              <w:top w:w="45" w:type="dxa"/>
              <w:left w:w="70" w:type="dxa"/>
              <w:bottom w:w="45" w:type="dxa"/>
              <w:right w:w="70" w:type="dxa"/>
            </w:tcMar>
          </w:tcPr>
          <w:p>
            <w:pPr>
              <w:spacing w:after="0" w:before="0"/>
            </w:pPr>
            <w:r>
              <w:rPr>
                <w:rFonts w:ascii="Calibri" w:hAnsi="Calibri" w:eastAsia="Calibri"/>
                <w:b w:val="0"/>
                <w:i w:val="0"/>
                <w:color w:val="1A1A2E"/>
                <w:sz w:val="17"/>
              </w:rPr>
              <w:t>Healthcare</w:t>
            </w:r>
          </w:p>
        </w:tc>
        <w:tc>
          <w:tcPr>
            <w:tcW w:type="dxa" w:w="1191"/>
            <w:shd w:val="clear" w:color="auto" w:fill="FAFBFD"/>
            <w:tcMar>
              <w:top w:w="45" w:type="dxa"/>
              <w:left w:w="70" w:type="dxa"/>
              <w:bottom w:w="45" w:type="dxa"/>
              <w:right w:w="70" w:type="dxa"/>
            </w:tcMar>
          </w:tcPr>
          <w:p>
            <w:pPr>
              <w:spacing w:after="0" w:before="0"/>
              <w:jc w:val="center"/>
            </w:pPr>
            <w:r>
              <w:rPr>
                <w:rFonts w:ascii="Consolas" w:hAnsi="Consolas" w:eastAsia="Consolas"/>
                <w:b/>
                <w:i w:val="0"/>
                <w:color w:val="1A1A2E"/>
                <w:sz w:val="18"/>
              </w:rPr>
              <w:t>10.0%</w:t>
            </w:r>
          </w:p>
        </w:tc>
        <w:tc>
          <w:tcPr>
            <w:tcW w:type="dxa" w:w="1417"/>
            <w:shd w:val="clear" w:color="auto" w:fill="FAFBFD"/>
            <w:tcMar>
              <w:top w:w="45" w:type="dxa"/>
              <w:left w:w="70" w:type="dxa"/>
              <w:bottom w:w="45" w:type="dxa"/>
              <w:right w:w="70" w:type="dxa"/>
            </w:tcMar>
          </w:tcPr>
          <w:p>
            <w:pPr>
              <w:spacing w:after="0" w:before="0"/>
              <w:jc w:val="right"/>
            </w:pPr>
            <w:r>
              <w:rPr>
                <w:rFonts w:ascii="Consolas" w:hAnsi="Consolas" w:eastAsia="Consolas"/>
                <w:b w:val="0"/>
                <w:i w:val="0"/>
                <w:color w:val="1A1A2E"/>
                <w:sz w:val="18"/>
              </w:rPr>
              <w:t>₹2,058.80</w:t>
            </w:r>
          </w:p>
        </w:tc>
        <w:tc>
          <w:tcPr>
            <w:tcW w:type="dxa" w:w="1020"/>
            <w:shd w:val="clear" w:color="auto" w:fill="FAFBFD"/>
            <w:tcMar>
              <w:top w:w="45" w:type="dxa"/>
              <w:left w:w="70" w:type="dxa"/>
              <w:bottom w:w="45" w:type="dxa"/>
              <w:right w:w="70" w:type="dxa"/>
            </w:tcMar>
          </w:tcPr>
          <w:p>
            <w:pPr>
              <w:spacing w:after="0" w:before="0"/>
              <w:jc w:val="right"/>
            </w:pPr>
            <w:r>
              <w:rPr>
                <w:rFonts w:ascii="Consolas" w:hAnsi="Consolas" w:eastAsia="Consolas"/>
                <w:b w:val="0"/>
                <w:i w:val="0"/>
                <w:color w:val="16C784"/>
                <w:sz w:val="18"/>
              </w:rPr>
              <w:t>+0.65%</w:t>
            </w:r>
          </w:p>
        </w:tc>
      </w:tr>
      <w:tr>
        <w:tc>
          <w:tcPr>
            <w:tcW w:type="dxa" w:w="567"/>
            <w:tcMar>
              <w:top w:w="45" w:type="dxa"/>
              <w:left w:w="70" w:type="dxa"/>
              <w:bottom w:w="45" w:type="dxa"/>
              <w:right w:w="70" w:type="dxa"/>
            </w:tcMar>
          </w:tcPr>
          <w:p>
            <w:pPr>
              <w:spacing w:after="0" w:before="0"/>
              <w:jc w:val="center"/>
            </w:pPr>
            <w:r>
              <w:rPr>
                <w:rFonts w:ascii="Calibri" w:hAnsi="Calibri" w:eastAsia="Calibri"/>
                <w:b w:val="0"/>
                <w:i w:val="0"/>
                <w:color w:val="6B7A99"/>
                <w:sz w:val="16"/>
              </w:rPr>
              <w:t>5</w:t>
            </w:r>
          </w:p>
        </w:tc>
        <w:tc>
          <w:tcPr>
            <w:tcW w:type="dxa" w:w="2835"/>
            <w:tcMar>
              <w:top w:w="45" w:type="dxa"/>
              <w:left w:w="70" w:type="dxa"/>
              <w:bottom w:w="45" w:type="dxa"/>
              <w:right w:w="70" w:type="dxa"/>
            </w:tcMar>
          </w:tcPr>
          <w:p>
            <w:pPr>
              <w:spacing w:after="0" w:before="0"/>
            </w:pPr>
            <w:r>
              <w:rPr>
                <w:rFonts w:ascii="Calibri" w:hAnsi="Calibri" w:eastAsia="Calibri"/>
                <w:b/>
                <w:i w:val="0"/>
                <w:color w:val="0F2B54"/>
                <w:sz w:val="19"/>
              </w:rPr>
              <w:t>CANHLIFE</w:t>
            </w:r>
          </w:p>
        </w:tc>
        <w:tc>
          <w:tcPr>
            <w:tcW w:type="dxa" w:w="3402"/>
            <w:tcMar>
              <w:top w:w="45" w:type="dxa"/>
              <w:left w:w="70" w:type="dxa"/>
              <w:bottom w:w="45" w:type="dxa"/>
              <w:right w:w="70" w:type="dxa"/>
            </w:tcMar>
          </w:tcPr>
          <w:p>
            <w:pPr>
              <w:spacing w:after="0" w:before="0"/>
            </w:pPr>
            <w:r>
              <w:rPr>
                <w:rFonts w:ascii="Calibri" w:hAnsi="Calibri" w:eastAsia="Calibri"/>
                <w:b w:val="0"/>
                <w:i w:val="0"/>
                <w:color w:val="1A1A2E"/>
                <w:sz w:val="17"/>
              </w:rPr>
              <w:t>Financial Services</w:t>
            </w:r>
          </w:p>
        </w:tc>
        <w:tc>
          <w:tcPr>
            <w:tcW w:type="dxa" w:w="1191"/>
            <w:tcMar>
              <w:top w:w="45" w:type="dxa"/>
              <w:left w:w="70" w:type="dxa"/>
              <w:bottom w:w="45" w:type="dxa"/>
              <w:right w:w="70" w:type="dxa"/>
            </w:tcMar>
          </w:tcPr>
          <w:p>
            <w:pPr>
              <w:spacing w:after="0" w:before="0"/>
              <w:jc w:val="center"/>
            </w:pPr>
            <w:r>
              <w:rPr>
                <w:rFonts w:ascii="Consolas" w:hAnsi="Consolas" w:eastAsia="Consolas"/>
                <w:b/>
                <w:i w:val="0"/>
                <w:color w:val="1A1A2E"/>
                <w:sz w:val="18"/>
              </w:rPr>
              <w:t>7.5%</w:t>
            </w:r>
          </w:p>
        </w:tc>
        <w:tc>
          <w:tcPr>
            <w:tcW w:type="dxa" w:w="1417"/>
            <w:tcMar>
              <w:top w:w="45" w:type="dxa"/>
              <w:left w:w="70" w:type="dxa"/>
              <w:bottom w:w="45" w:type="dxa"/>
              <w:right w:w="70" w:type="dxa"/>
            </w:tcMar>
          </w:tcPr>
          <w:p>
            <w:pPr>
              <w:spacing w:after="0" w:before="0"/>
              <w:jc w:val="right"/>
            </w:pPr>
            <w:r>
              <w:rPr>
                <w:rFonts w:ascii="Consolas" w:hAnsi="Consolas" w:eastAsia="Consolas"/>
                <w:b w:val="0"/>
                <w:i w:val="0"/>
                <w:color w:val="1A1A2E"/>
                <w:sz w:val="18"/>
              </w:rPr>
              <w:t>₹152.19</w:t>
            </w:r>
          </w:p>
        </w:tc>
        <w:tc>
          <w:tcPr>
            <w:tcW w:type="dxa" w:w="1020"/>
            <w:tcMar>
              <w:top w:w="45" w:type="dxa"/>
              <w:left w:w="70" w:type="dxa"/>
              <w:bottom w:w="45" w:type="dxa"/>
              <w:right w:w="70" w:type="dxa"/>
            </w:tcMar>
          </w:tcPr>
          <w:p>
            <w:pPr>
              <w:spacing w:after="0" w:before="0"/>
              <w:jc w:val="right"/>
            </w:pPr>
            <w:r>
              <w:rPr>
                <w:rFonts w:ascii="Consolas" w:hAnsi="Consolas" w:eastAsia="Consolas"/>
                <w:b w:val="0"/>
                <w:i w:val="0"/>
                <w:color w:val="16C784"/>
                <w:sz w:val="18"/>
              </w:rPr>
              <w:t>+1.09%</w:t>
            </w:r>
          </w:p>
        </w:tc>
      </w:tr>
      <w:tr>
        <w:tc>
          <w:tcPr>
            <w:tcW w:type="dxa" w:w="567"/>
            <w:shd w:val="clear" w:color="auto" w:fill="FAFBFD"/>
            <w:tcMar>
              <w:top w:w="45" w:type="dxa"/>
              <w:left w:w="70" w:type="dxa"/>
              <w:bottom w:w="45" w:type="dxa"/>
              <w:right w:w="70" w:type="dxa"/>
            </w:tcMar>
          </w:tcPr>
          <w:p>
            <w:pPr>
              <w:spacing w:after="0" w:before="0"/>
              <w:jc w:val="center"/>
            </w:pPr>
            <w:r>
              <w:rPr>
                <w:rFonts w:ascii="Calibri" w:hAnsi="Calibri" w:eastAsia="Calibri"/>
                <w:b w:val="0"/>
                <w:i w:val="0"/>
                <w:color w:val="6B7A99"/>
                <w:sz w:val="16"/>
              </w:rPr>
              <w:t>6</w:t>
            </w:r>
          </w:p>
        </w:tc>
        <w:tc>
          <w:tcPr>
            <w:tcW w:type="dxa" w:w="2835"/>
            <w:shd w:val="clear" w:color="auto" w:fill="FAFBFD"/>
            <w:tcMar>
              <w:top w:w="45" w:type="dxa"/>
              <w:left w:w="70" w:type="dxa"/>
              <w:bottom w:w="45" w:type="dxa"/>
              <w:right w:w="70" w:type="dxa"/>
            </w:tcMar>
          </w:tcPr>
          <w:p>
            <w:pPr>
              <w:spacing w:after="0" w:before="0"/>
            </w:pPr>
            <w:r>
              <w:rPr>
                <w:rFonts w:ascii="Calibri" w:hAnsi="Calibri" w:eastAsia="Calibri"/>
                <w:b/>
                <w:i w:val="0"/>
                <w:color w:val="0F2B54"/>
                <w:sz w:val="19"/>
              </w:rPr>
              <w:t>RUBICON</w:t>
            </w:r>
          </w:p>
        </w:tc>
        <w:tc>
          <w:tcPr>
            <w:tcW w:type="dxa" w:w="3402"/>
            <w:shd w:val="clear" w:color="auto" w:fill="FAFBFD"/>
            <w:tcMar>
              <w:top w:w="45" w:type="dxa"/>
              <w:left w:w="70" w:type="dxa"/>
              <w:bottom w:w="45" w:type="dxa"/>
              <w:right w:w="70" w:type="dxa"/>
            </w:tcMar>
          </w:tcPr>
          <w:p>
            <w:pPr>
              <w:spacing w:after="0" w:before="0"/>
            </w:pPr>
            <w:r>
              <w:rPr>
                <w:rFonts w:ascii="Calibri" w:hAnsi="Calibri" w:eastAsia="Calibri"/>
                <w:b w:val="0"/>
                <w:i w:val="0"/>
                <w:color w:val="1A1A2E"/>
                <w:sz w:val="17"/>
              </w:rPr>
              <w:t>Healthcare</w:t>
            </w:r>
          </w:p>
        </w:tc>
        <w:tc>
          <w:tcPr>
            <w:tcW w:type="dxa" w:w="1191"/>
            <w:shd w:val="clear" w:color="auto" w:fill="FAFBFD"/>
            <w:tcMar>
              <w:top w:w="45" w:type="dxa"/>
              <w:left w:w="70" w:type="dxa"/>
              <w:bottom w:w="45" w:type="dxa"/>
              <w:right w:w="70" w:type="dxa"/>
            </w:tcMar>
          </w:tcPr>
          <w:p>
            <w:pPr>
              <w:spacing w:after="0" w:before="0"/>
              <w:jc w:val="center"/>
            </w:pPr>
            <w:r>
              <w:rPr>
                <w:rFonts w:ascii="Consolas" w:hAnsi="Consolas" w:eastAsia="Consolas"/>
                <w:b/>
                <w:i w:val="0"/>
                <w:color w:val="1A1A2E"/>
                <w:sz w:val="18"/>
              </w:rPr>
              <w:t>7.1%</w:t>
            </w:r>
          </w:p>
        </w:tc>
        <w:tc>
          <w:tcPr>
            <w:tcW w:type="dxa" w:w="1417"/>
            <w:shd w:val="clear" w:color="auto" w:fill="FAFBFD"/>
            <w:tcMar>
              <w:top w:w="45" w:type="dxa"/>
              <w:left w:w="70" w:type="dxa"/>
              <w:bottom w:w="45" w:type="dxa"/>
              <w:right w:w="70" w:type="dxa"/>
            </w:tcMar>
          </w:tcPr>
          <w:p>
            <w:pPr>
              <w:spacing w:after="0" w:before="0"/>
              <w:jc w:val="right"/>
            </w:pPr>
            <w:r>
              <w:rPr>
                <w:rFonts w:ascii="Consolas" w:hAnsi="Consolas" w:eastAsia="Consolas"/>
                <w:b w:val="0"/>
                <w:i w:val="0"/>
                <w:color w:val="1A1A2E"/>
                <w:sz w:val="18"/>
              </w:rPr>
              <w:t>₹1,553.20</w:t>
            </w:r>
          </w:p>
        </w:tc>
        <w:tc>
          <w:tcPr>
            <w:tcW w:type="dxa" w:w="1020"/>
            <w:shd w:val="clear" w:color="auto" w:fill="FAFBFD"/>
            <w:tcMar>
              <w:top w:w="45" w:type="dxa"/>
              <w:left w:w="70" w:type="dxa"/>
              <w:bottom w:w="45" w:type="dxa"/>
              <w:right w:w="70" w:type="dxa"/>
            </w:tcMar>
          </w:tcPr>
          <w:p>
            <w:pPr>
              <w:spacing w:after="0" w:before="0"/>
              <w:jc w:val="right"/>
            </w:pPr>
            <w:r>
              <w:rPr>
                <w:rFonts w:ascii="Consolas" w:hAnsi="Consolas" w:eastAsia="Consolas"/>
                <w:b w:val="0"/>
                <w:i w:val="0"/>
                <w:color w:val="16C784"/>
                <w:sz w:val="18"/>
              </w:rPr>
              <w:t>+1.29%</w:t>
            </w:r>
          </w:p>
        </w:tc>
      </w:tr>
      <w:tr>
        <w:tc>
          <w:tcPr>
            <w:tcW w:type="dxa" w:w="567"/>
            <w:tcMar>
              <w:top w:w="45" w:type="dxa"/>
              <w:left w:w="70" w:type="dxa"/>
              <w:bottom w:w="45" w:type="dxa"/>
              <w:right w:w="70" w:type="dxa"/>
            </w:tcMar>
          </w:tcPr>
          <w:p>
            <w:pPr>
              <w:spacing w:after="0" w:before="0"/>
              <w:jc w:val="center"/>
            </w:pPr>
            <w:r>
              <w:rPr>
                <w:rFonts w:ascii="Calibri" w:hAnsi="Calibri" w:eastAsia="Calibri"/>
                <w:b w:val="0"/>
                <w:i w:val="0"/>
                <w:color w:val="6B7A99"/>
                <w:sz w:val="16"/>
              </w:rPr>
              <w:t>7</w:t>
            </w:r>
          </w:p>
        </w:tc>
        <w:tc>
          <w:tcPr>
            <w:tcW w:type="dxa" w:w="2835"/>
            <w:tcMar>
              <w:top w:w="45" w:type="dxa"/>
              <w:left w:w="70" w:type="dxa"/>
              <w:bottom w:w="45" w:type="dxa"/>
              <w:right w:w="70" w:type="dxa"/>
            </w:tcMar>
          </w:tcPr>
          <w:p>
            <w:pPr>
              <w:spacing w:after="0" w:before="0"/>
            </w:pPr>
            <w:r>
              <w:rPr>
                <w:rFonts w:ascii="Calibri" w:hAnsi="Calibri" w:eastAsia="Calibri"/>
                <w:b/>
                <w:i w:val="0"/>
                <w:color w:val="0F2B54"/>
                <w:sz w:val="19"/>
              </w:rPr>
              <w:t>PARKHOSPS</w:t>
            </w:r>
          </w:p>
        </w:tc>
        <w:tc>
          <w:tcPr>
            <w:tcW w:type="dxa" w:w="3402"/>
            <w:tcMar>
              <w:top w:w="45" w:type="dxa"/>
              <w:left w:w="70" w:type="dxa"/>
              <w:bottom w:w="45" w:type="dxa"/>
              <w:right w:w="70" w:type="dxa"/>
            </w:tcMar>
          </w:tcPr>
          <w:p>
            <w:pPr>
              <w:spacing w:after="0" w:before="0"/>
            </w:pPr>
            <w:r>
              <w:rPr>
                <w:rFonts w:ascii="Calibri" w:hAnsi="Calibri" w:eastAsia="Calibri"/>
                <w:b w:val="0"/>
                <w:i w:val="0"/>
                <w:color w:val="1A1A2E"/>
                <w:sz w:val="17"/>
              </w:rPr>
              <w:t>Healthcare</w:t>
            </w:r>
          </w:p>
        </w:tc>
        <w:tc>
          <w:tcPr>
            <w:tcW w:type="dxa" w:w="1191"/>
            <w:tcMar>
              <w:top w:w="45" w:type="dxa"/>
              <w:left w:w="70" w:type="dxa"/>
              <w:bottom w:w="45" w:type="dxa"/>
              <w:right w:w="70" w:type="dxa"/>
            </w:tcMar>
          </w:tcPr>
          <w:p>
            <w:pPr>
              <w:spacing w:after="0" w:before="0"/>
              <w:jc w:val="center"/>
            </w:pPr>
            <w:r>
              <w:rPr>
                <w:rFonts w:ascii="Consolas" w:hAnsi="Consolas" w:eastAsia="Consolas"/>
                <w:b/>
                <w:i w:val="0"/>
                <w:color w:val="1A1A2E"/>
                <w:sz w:val="18"/>
              </w:rPr>
              <w:t>7.1%</w:t>
            </w:r>
          </w:p>
        </w:tc>
        <w:tc>
          <w:tcPr>
            <w:tcW w:type="dxa" w:w="1417"/>
            <w:tcMar>
              <w:top w:w="45" w:type="dxa"/>
              <w:left w:w="70" w:type="dxa"/>
              <w:bottom w:w="45" w:type="dxa"/>
              <w:right w:w="70" w:type="dxa"/>
            </w:tcMar>
          </w:tcPr>
          <w:p>
            <w:pPr>
              <w:spacing w:after="0" w:before="0"/>
              <w:jc w:val="right"/>
            </w:pPr>
            <w:r>
              <w:rPr>
                <w:rFonts w:ascii="Consolas" w:hAnsi="Consolas" w:eastAsia="Consolas"/>
                <w:b w:val="0"/>
                <w:i w:val="0"/>
                <w:color w:val="1A1A2E"/>
                <w:sz w:val="18"/>
              </w:rPr>
              <w:t>₹292.25</w:t>
            </w:r>
          </w:p>
        </w:tc>
        <w:tc>
          <w:tcPr>
            <w:tcW w:type="dxa" w:w="1020"/>
            <w:tcMar>
              <w:top w:w="45" w:type="dxa"/>
              <w:left w:w="70" w:type="dxa"/>
              <w:bottom w:w="45" w:type="dxa"/>
              <w:right w:w="70" w:type="dxa"/>
            </w:tcMar>
          </w:tcPr>
          <w:p>
            <w:pPr>
              <w:spacing w:after="0" w:before="0"/>
              <w:jc w:val="right"/>
            </w:pPr>
            <w:r>
              <w:rPr>
                <w:rFonts w:ascii="Consolas" w:hAnsi="Consolas" w:eastAsia="Consolas"/>
                <w:b w:val="0"/>
                <w:i w:val="0"/>
                <w:color w:val="16C784"/>
                <w:sz w:val="18"/>
              </w:rPr>
              <w:t>+0.00%</w:t>
            </w:r>
          </w:p>
        </w:tc>
      </w:tr>
      <w:tr>
        <w:tc>
          <w:tcPr>
            <w:tcW w:type="dxa" w:w="567"/>
            <w:shd w:val="clear" w:color="auto" w:fill="FAFBFD"/>
            <w:tcMar>
              <w:top w:w="45" w:type="dxa"/>
              <w:left w:w="70" w:type="dxa"/>
              <w:bottom w:w="45" w:type="dxa"/>
              <w:right w:w="70" w:type="dxa"/>
            </w:tcMar>
          </w:tcPr>
          <w:p>
            <w:pPr>
              <w:spacing w:after="0" w:before="0"/>
              <w:jc w:val="center"/>
            </w:pPr>
            <w:r>
              <w:rPr>
                <w:rFonts w:ascii="Calibri" w:hAnsi="Calibri" w:eastAsia="Calibri"/>
                <w:b w:val="0"/>
                <w:i w:val="0"/>
                <w:color w:val="6B7A99"/>
                <w:sz w:val="16"/>
              </w:rPr>
              <w:t>8</w:t>
            </w:r>
          </w:p>
        </w:tc>
        <w:tc>
          <w:tcPr>
            <w:tcW w:type="dxa" w:w="2835"/>
            <w:shd w:val="clear" w:color="auto" w:fill="FAFBFD"/>
            <w:tcMar>
              <w:top w:w="45" w:type="dxa"/>
              <w:left w:w="70" w:type="dxa"/>
              <w:bottom w:w="45" w:type="dxa"/>
              <w:right w:w="70" w:type="dxa"/>
            </w:tcMar>
          </w:tcPr>
          <w:p>
            <w:pPr>
              <w:spacing w:after="0" w:before="0"/>
            </w:pPr>
            <w:r>
              <w:rPr>
                <w:rFonts w:ascii="Calibri" w:hAnsi="Calibri" w:eastAsia="Calibri"/>
                <w:b/>
                <w:i w:val="0"/>
                <w:color w:val="0F2B54"/>
                <w:sz w:val="19"/>
              </w:rPr>
              <w:t>CPPLUS</w:t>
            </w:r>
          </w:p>
        </w:tc>
        <w:tc>
          <w:tcPr>
            <w:tcW w:type="dxa" w:w="3402"/>
            <w:shd w:val="clear" w:color="auto" w:fill="FAFBFD"/>
            <w:tcMar>
              <w:top w:w="45" w:type="dxa"/>
              <w:left w:w="70" w:type="dxa"/>
              <w:bottom w:w="45" w:type="dxa"/>
              <w:right w:w="70" w:type="dxa"/>
            </w:tcMar>
          </w:tcPr>
          <w:p>
            <w:pPr>
              <w:spacing w:after="0" w:before="0"/>
            </w:pPr>
            <w:r>
              <w:rPr>
                <w:rFonts w:ascii="Calibri" w:hAnsi="Calibri" w:eastAsia="Calibri"/>
                <w:b w:val="0"/>
                <w:i w:val="0"/>
                <w:color w:val="1A1A2E"/>
                <w:sz w:val="17"/>
              </w:rPr>
              <w:t>Capital Goods</w:t>
            </w:r>
          </w:p>
        </w:tc>
        <w:tc>
          <w:tcPr>
            <w:tcW w:type="dxa" w:w="1191"/>
            <w:shd w:val="clear" w:color="auto" w:fill="FAFBFD"/>
            <w:tcMar>
              <w:top w:w="45" w:type="dxa"/>
              <w:left w:w="70" w:type="dxa"/>
              <w:bottom w:w="45" w:type="dxa"/>
              <w:right w:w="70" w:type="dxa"/>
            </w:tcMar>
          </w:tcPr>
          <w:p>
            <w:pPr>
              <w:spacing w:after="0" w:before="0"/>
              <w:jc w:val="center"/>
            </w:pPr>
            <w:r>
              <w:rPr>
                <w:rFonts w:ascii="Consolas" w:hAnsi="Consolas" w:eastAsia="Consolas"/>
                <w:b/>
                <w:i w:val="0"/>
                <w:color w:val="1A1A2E"/>
                <w:sz w:val="18"/>
              </w:rPr>
              <w:t>5.1%</w:t>
            </w:r>
          </w:p>
        </w:tc>
        <w:tc>
          <w:tcPr>
            <w:tcW w:type="dxa" w:w="1417"/>
            <w:shd w:val="clear" w:color="auto" w:fill="FAFBFD"/>
            <w:tcMar>
              <w:top w:w="45" w:type="dxa"/>
              <w:left w:w="70" w:type="dxa"/>
              <w:bottom w:w="45" w:type="dxa"/>
              <w:right w:w="70" w:type="dxa"/>
            </w:tcMar>
          </w:tcPr>
          <w:p>
            <w:pPr>
              <w:spacing w:after="0" w:before="0"/>
              <w:jc w:val="right"/>
            </w:pPr>
            <w:r>
              <w:rPr>
                <w:rFonts w:ascii="Consolas" w:hAnsi="Consolas" w:eastAsia="Consolas"/>
                <w:b w:val="0"/>
                <w:i w:val="0"/>
                <w:color w:val="1A1A2E"/>
                <w:sz w:val="18"/>
              </w:rPr>
              <w:t>₹3,708.70</w:t>
            </w:r>
          </w:p>
        </w:tc>
        <w:tc>
          <w:tcPr>
            <w:tcW w:type="dxa" w:w="1020"/>
            <w:shd w:val="clear" w:color="auto" w:fill="FAFBFD"/>
            <w:tcMar>
              <w:top w:w="45" w:type="dxa"/>
              <w:left w:w="70" w:type="dxa"/>
              <w:bottom w:w="45" w:type="dxa"/>
              <w:right w:w="70" w:type="dxa"/>
            </w:tcMar>
          </w:tcPr>
          <w:p>
            <w:pPr>
              <w:spacing w:after="0" w:before="0"/>
              <w:jc w:val="right"/>
            </w:pPr>
            <w:r>
              <w:rPr>
                <w:rFonts w:ascii="Consolas" w:hAnsi="Consolas" w:eastAsia="Consolas"/>
                <w:b w:val="0"/>
                <w:i w:val="0"/>
                <w:color w:val="16C784"/>
                <w:sz w:val="18"/>
              </w:rPr>
              <w:t>+1.44%</w:t>
            </w:r>
          </w:p>
        </w:tc>
      </w:tr>
      <w:tr>
        <w:tc>
          <w:tcPr>
            <w:tcW w:type="dxa" w:w="567"/>
            <w:tcMar>
              <w:top w:w="45" w:type="dxa"/>
              <w:left w:w="70" w:type="dxa"/>
              <w:bottom w:w="45" w:type="dxa"/>
              <w:right w:w="70" w:type="dxa"/>
            </w:tcMar>
          </w:tcPr>
          <w:p>
            <w:pPr>
              <w:spacing w:after="0" w:before="0"/>
              <w:jc w:val="center"/>
            </w:pPr>
            <w:r>
              <w:rPr>
                <w:rFonts w:ascii="Calibri" w:hAnsi="Calibri" w:eastAsia="Calibri"/>
                <w:b w:val="0"/>
                <w:i w:val="0"/>
                <w:color w:val="6B7A99"/>
                <w:sz w:val="16"/>
              </w:rPr>
              <w:t>9</w:t>
            </w:r>
          </w:p>
        </w:tc>
        <w:tc>
          <w:tcPr>
            <w:tcW w:type="dxa" w:w="2835"/>
            <w:tcMar>
              <w:top w:w="45" w:type="dxa"/>
              <w:left w:w="70" w:type="dxa"/>
              <w:bottom w:w="45" w:type="dxa"/>
              <w:right w:w="70" w:type="dxa"/>
            </w:tcMar>
          </w:tcPr>
          <w:p>
            <w:pPr>
              <w:spacing w:after="0" w:before="0"/>
            </w:pPr>
            <w:r>
              <w:rPr>
                <w:rFonts w:ascii="Calibri" w:hAnsi="Calibri" w:eastAsia="Calibri"/>
                <w:b/>
                <w:i w:val="0"/>
                <w:color w:val="0F2B54"/>
                <w:sz w:val="19"/>
              </w:rPr>
              <w:t>LENSKART</w:t>
            </w:r>
          </w:p>
        </w:tc>
        <w:tc>
          <w:tcPr>
            <w:tcW w:type="dxa" w:w="3402"/>
            <w:tcMar>
              <w:top w:w="45" w:type="dxa"/>
              <w:left w:w="70" w:type="dxa"/>
              <w:bottom w:w="45" w:type="dxa"/>
              <w:right w:w="70" w:type="dxa"/>
            </w:tcMar>
          </w:tcPr>
          <w:p>
            <w:pPr>
              <w:spacing w:after="0" w:before="0"/>
            </w:pPr>
            <w:r>
              <w:rPr>
                <w:rFonts w:ascii="Calibri" w:hAnsi="Calibri" w:eastAsia="Calibri"/>
                <w:b w:val="0"/>
                <w:i w:val="0"/>
                <w:color w:val="1A1A2E"/>
                <w:sz w:val="17"/>
              </w:rPr>
              <w:t>Consumer Services</w:t>
            </w:r>
          </w:p>
        </w:tc>
        <w:tc>
          <w:tcPr>
            <w:tcW w:type="dxa" w:w="1191"/>
            <w:tcMar>
              <w:top w:w="45" w:type="dxa"/>
              <w:left w:w="70" w:type="dxa"/>
              <w:bottom w:w="45" w:type="dxa"/>
              <w:right w:w="70" w:type="dxa"/>
            </w:tcMar>
          </w:tcPr>
          <w:p>
            <w:pPr>
              <w:spacing w:after="0" w:before="0"/>
              <w:jc w:val="center"/>
            </w:pPr>
            <w:r>
              <w:rPr>
                <w:rFonts w:ascii="Consolas" w:hAnsi="Consolas" w:eastAsia="Consolas"/>
                <w:b/>
                <w:i w:val="0"/>
                <w:color w:val="1A1A2E"/>
                <w:sz w:val="18"/>
              </w:rPr>
              <w:t>4.5%</w:t>
            </w:r>
          </w:p>
        </w:tc>
        <w:tc>
          <w:tcPr>
            <w:tcW w:type="dxa" w:w="1417"/>
            <w:tcMar>
              <w:top w:w="45" w:type="dxa"/>
              <w:left w:w="70" w:type="dxa"/>
              <w:bottom w:w="45" w:type="dxa"/>
              <w:right w:w="70" w:type="dxa"/>
            </w:tcMar>
          </w:tcPr>
          <w:p>
            <w:pPr>
              <w:spacing w:after="0" w:before="0"/>
              <w:jc w:val="right"/>
            </w:pPr>
            <w:r>
              <w:rPr>
                <w:rFonts w:ascii="Consolas" w:hAnsi="Consolas" w:eastAsia="Consolas"/>
                <w:b w:val="0"/>
                <w:i w:val="0"/>
                <w:color w:val="1A1A2E"/>
                <w:sz w:val="18"/>
              </w:rPr>
              <w:t>₹569.70</w:t>
            </w:r>
          </w:p>
        </w:tc>
        <w:tc>
          <w:tcPr>
            <w:tcW w:type="dxa" w:w="1020"/>
            <w:tcMar>
              <w:top w:w="45" w:type="dxa"/>
              <w:left w:w="70" w:type="dxa"/>
              <w:bottom w:w="45" w:type="dxa"/>
              <w:right w:w="70" w:type="dxa"/>
            </w:tcMar>
          </w:tcPr>
          <w:p>
            <w:pPr>
              <w:spacing w:after="0" w:before="0"/>
              <w:jc w:val="right"/>
            </w:pPr>
            <w:r>
              <w:rPr>
                <w:rFonts w:ascii="Consolas" w:hAnsi="Consolas" w:eastAsia="Consolas"/>
                <w:b w:val="0"/>
                <w:i w:val="0"/>
                <w:color w:val="16C784"/>
                <w:sz w:val="18"/>
              </w:rPr>
              <w:t>+0.83%</w:t>
            </w:r>
          </w:p>
        </w:tc>
      </w:tr>
      <w:tr>
        <w:tc>
          <w:tcPr>
            <w:tcW w:type="dxa" w:w="567"/>
            <w:shd w:val="clear" w:color="auto" w:fill="FAFBFD"/>
            <w:tcMar>
              <w:top w:w="45" w:type="dxa"/>
              <w:left w:w="70" w:type="dxa"/>
              <w:bottom w:w="45" w:type="dxa"/>
              <w:right w:w="70" w:type="dxa"/>
            </w:tcMar>
          </w:tcPr>
          <w:p>
            <w:pPr>
              <w:spacing w:after="0" w:before="0"/>
              <w:jc w:val="center"/>
            </w:pPr>
            <w:r>
              <w:rPr>
                <w:rFonts w:ascii="Calibri" w:hAnsi="Calibri" w:eastAsia="Calibri"/>
                <w:b w:val="0"/>
                <w:i w:val="0"/>
                <w:color w:val="6B7A99"/>
                <w:sz w:val="16"/>
              </w:rPr>
              <w:t>10</w:t>
            </w:r>
          </w:p>
        </w:tc>
        <w:tc>
          <w:tcPr>
            <w:tcW w:type="dxa" w:w="2835"/>
            <w:shd w:val="clear" w:color="auto" w:fill="FAFBFD"/>
            <w:tcMar>
              <w:top w:w="45" w:type="dxa"/>
              <w:left w:w="70" w:type="dxa"/>
              <w:bottom w:w="45" w:type="dxa"/>
              <w:right w:w="70" w:type="dxa"/>
            </w:tcMar>
          </w:tcPr>
          <w:p>
            <w:pPr>
              <w:spacing w:after="0" w:before="0"/>
            </w:pPr>
            <w:r>
              <w:rPr>
                <w:rFonts w:ascii="Calibri" w:hAnsi="Calibri" w:eastAsia="Calibri"/>
                <w:b/>
                <w:i w:val="0"/>
                <w:color w:val="0F2B54"/>
                <w:sz w:val="19"/>
              </w:rPr>
              <w:t>EMMVEE</w:t>
            </w:r>
          </w:p>
        </w:tc>
        <w:tc>
          <w:tcPr>
            <w:tcW w:type="dxa" w:w="3402"/>
            <w:shd w:val="clear" w:color="auto" w:fill="FAFBFD"/>
            <w:tcMar>
              <w:top w:w="45" w:type="dxa"/>
              <w:left w:w="70" w:type="dxa"/>
              <w:bottom w:w="45" w:type="dxa"/>
              <w:right w:w="70" w:type="dxa"/>
            </w:tcMar>
          </w:tcPr>
          <w:p>
            <w:pPr>
              <w:spacing w:after="0" w:before="0"/>
            </w:pPr>
            <w:r>
              <w:rPr>
                <w:rFonts w:ascii="Calibri" w:hAnsi="Calibri" w:eastAsia="Calibri"/>
                <w:b w:val="0"/>
                <w:i w:val="0"/>
                <w:color w:val="1A1A2E"/>
                <w:sz w:val="17"/>
              </w:rPr>
              <w:t>Capital Goods</w:t>
            </w:r>
          </w:p>
        </w:tc>
        <w:tc>
          <w:tcPr>
            <w:tcW w:type="dxa" w:w="1191"/>
            <w:shd w:val="clear" w:color="auto" w:fill="FAFBFD"/>
            <w:tcMar>
              <w:top w:w="45" w:type="dxa"/>
              <w:left w:w="70" w:type="dxa"/>
              <w:bottom w:w="45" w:type="dxa"/>
              <w:right w:w="70" w:type="dxa"/>
            </w:tcMar>
          </w:tcPr>
          <w:p>
            <w:pPr>
              <w:spacing w:after="0" w:before="0"/>
              <w:jc w:val="center"/>
            </w:pPr>
            <w:r>
              <w:rPr>
                <w:rFonts w:ascii="Consolas" w:hAnsi="Consolas" w:eastAsia="Consolas"/>
                <w:b/>
                <w:i w:val="0"/>
                <w:color w:val="1A1A2E"/>
                <w:sz w:val="18"/>
              </w:rPr>
              <w:t>4.2%</w:t>
            </w:r>
          </w:p>
        </w:tc>
        <w:tc>
          <w:tcPr>
            <w:tcW w:type="dxa" w:w="1417"/>
            <w:shd w:val="clear" w:color="auto" w:fill="FAFBFD"/>
            <w:tcMar>
              <w:top w:w="45" w:type="dxa"/>
              <w:left w:w="70" w:type="dxa"/>
              <w:bottom w:w="45" w:type="dxa"/>
              <w:right w:w="70" w:type="dxa"/>
            </w:tcMar>
          </w:tcPr>
          <w:p>
            <w:pPr>
              <w:spacing w:after="0" w:before="0"/>
              <w:jc w:val="right"/>
            </w:pPr>
            <w:r>
              <w:rPr>
                <w:rFonts w:ascii="Consolas" w:hAnsi="Consolas" w:eastAsia="Consolas"/>
                <w:b w:val="0"/>
                <w:i w:val="0"/>
                <w:color w:val="1A1A2E"/>
                <w:sz w:val="18"/>
              </w:rPr>
              <w:t>₹318.90</w:t>
            </w:r>
          </w:p>
        </w:tc>
        <w:tc>
          <w:tcPr>
            <w:tcW w:type="dxa" w:w="1020"/>
            <w:shd w:val="clear" w:color="auto" w:fill="FAFBFD"/>
            <w:tcMar>
              <w:top w:w="45" w:type="dxa"/>
              <w:left w:w="70" w:type="dxa"/>
              <w:bottom w:w="45" w:type="dxa"/>
              <w:right w:w="70" w:type="dxa"/>
            </w:tcMar>
          </w:tcPr>
          <w:p>
            <w:pPr>
              <w:spacing w:after="0" w:before="0"/>
              <w:jc w:val="right"/>
            </w:pPr>
            <w:r>
              <w:rPr>
                <w:rFonts w:ascii="Consolas" w:hAnsi="Consolas" w:eastAsia="Consolas"/>
                <w:b w:val="0"/>
                <w:i w:val="0"/>
                <w:color w:val="EA3943"/>
                <w:sz w:val="18"/>
              </w:rPr>
              <w:t>-2.82%</w:t>
            </w:r>
          </w:p>
        </w:tc>
      </w:tr>
      <w:tr>
        <w:tc>
          <w:tcPr>
            <w:tcW w:type="dxa" w:w="567"/>
            <w:tcMar>
              <w:top w:w="45" w:type="dxa"/>
              <w:left w:w="70" w:type="dxa"/>
              <w:bottom w:w="45" w:type="dxa"/>
              <w:right w:w="70" w:type="dxa"/>
            </w:tcMar>
          </w:tcPr>
          <w:p>
            <w:pPr>
              <w:spacing w:after="0" w:before="0"/>
              <w:jc w:val="center"/>
            </w:pPr>
            <w:r>
              <w:rPr>
                <w:rFonts w:ascii="Calibri" w:hAnsi="Calibri" w:eastAsia="Calibri"/>
                <w:b w:val="0"/>
                <w:i w:val="0"/>
                <w:color w:val="6B7A99"/>
                <w:sz w:val="16"/>
              </w:rPr>
              <w:t>11</w:t>
            </w:r>
          </w:p>
        </w:tc>
        <w:tc>
          <w:tcPr>
            <w:tcW w:type="dxa" w:w="2835"/>
            <w:tcMar>
              <w:top w:w="45" w:type="dxa"/>
              <w:left w:w="70" w:type="dxa"/>
              <w:bottom w:w="45" w:type="dxa"/>
              <w:right w:w="70" w:type="dxa"/>
            </w:tcMar>
          </w:tcPr>
          <w:p>
            <w:pPr>
              <w:spacing w:after="0" w:before="0"/>
            </w:pPr>
            <w:r>
              <w:rPr>
                <w:rFonts w:ascii="Calibri" w:hAnsi="Calibri" w:eastAsia="Calibri"/>
                <w:b/>
                <w:i w:val="0"/>
                <w:color w:val="0F2B54"/>
                <w:sz w:val="19"/>
              </w:rPr>
              <w:t>CUPID</w:t>
            </w:r>
          </w:p>
        </w:tc>
        <w:tc>
          <w:tcPr>
            <w:tcW w:type="dxa" w:w="3402"/>
            <w:tcMar>
              <w:top w:w="45" w:type="dxa"/>
              <w:left w:w="70" w:type="dxa"/>
              <w:bottom w:w="45" w:type="dxa"/>
              <w:right w:w="70" w:type="dxa"/>
            </w:tcMar>
          </w:tcPr>
          <w:p>
            <w:pPr>
              <w:spacing w:after="0" w:before="0"/>
            </w:pPr>
            <w:r>
              <w:rPr>
                <w:rFonts w:ascii="Calibri" w:hAnsi="Calibri" w:eastAsia="Calibri"/>
                <w:b w:val="0"/>
                <w:i w:val="0"/>
                <w:color w:val="1A1A2E"/>
                <w:sz w:val="17"/>
              </w:rPr>
              <w:t>Fast Moving Consumer Goods</w:t>
            </w:r>
          </w:p>
        </w:tc>
        <w:tc>
          <w:tcPr>
            <w:tcW w:type="dxa" w:w="1191"/>
            <w:tcMar>
              <w:top w:w="45" w:type="dxa"/>
              <w:left w:w="70" w:type="dxa"/>
              <w:bottom w:w="45" w:type="dxa"/>
              <w:right w:w="70" w:type="dxa"/>
            </w:tcMar>
          </w:tcPr>
          <w:p>
            <w:pPr>
              <w:spacing w:after="0" w:before="0"/>
              <w:jc w:val="center"/>
            </w:pPr>
            <w:r>
              <w:rPr>
                <w:rFonts w:ascii="Consolas" w:hAnsi="Consolas" w:eastAsia="Consolas"/>
                <w:b/>
                <w:i w:val="0"/>
                <w:color w:val="1A1A2E"/>
                <w:sz w:val="18"/>
              </w:rPr>
              <w:t>2.8%</w:t>
            </w:r>
          </w:p>
        </w:tc>
        <w:tc>
          <w:tcPr>
            <w:tcW w:type="dxa" w:w="1417"/>
            <w:tcMar>
              <w:top w:w="45" w:type="dxa"/>
              <w:left w:w="70" w:type="dxa"/>
              <w:bottom w:w="45" w:type="dxa"/>
              <w:right w:w="70" w:type="dxa"/>
            </w:tcMar>
          </w:tcPr>
          <w:p>
            <w:pPr>
              <w:spacing w:after="0" w:before="0"/>
              <w:jc w:val="right"/>
            </w:pPr>
            <w:r>
              <w:rPr>
                <w:rFonts w:ascii="Consolas" w:hAnsi="Consolas" w:eastAsia="Consolas"/>
                <w:b w:val="0"/>
                <w:i w:val="0"/>
                <w:color w:val="1A1A2E"/>
                <w:sz w:val="18"/>
              </w:rPr>
              <w:t>₹262.13</w:t>
            </w:r>
          </w:p>
        </w:tc>
        <w:tc>
          <w:tcPr>
            <w:tcW w:type="dxa" w:w="1020"/>
            <w:tcMar>
              <w:top w:w="45" w:type="dxa"/>
              <w:left w:w="70" w:type="dxa"/>
              <w:bottom w:w="45" w:type="dxa"/>
              <w:right w:w="70" w:type="dxa"/>
            </w:tcMar>
          </w:tcPr>
          <w:p>
            <w:pPr>
              <w:spacing w:after="0" w:before="0"/>
              <w:jc w:val="right"/>
            </w:pPr>
            <w:r>
              <w:rPr>
                <w:rFonts w:ascii="Consolas" w:hAnsi="Consolas" w:eastAsia="Consolas"/>
                <w:b w:val="0"/>
                <w:i w:val="0"/>
                <w:color w:val="EA3943"/>
                <w:sz w:val="18"/>
              </w:rPr>
              <w:t>-0.18%</w:t>
            </w:r>
          </w:p>
        </w:tc>
      </w:tr>
      <w:tr>
        <w:tc>
          <w:tcPr>
            <w:tcW w:type="dxa" w:w="567"/>
            <w:shd w:val="clear" w:color="auto" w:fill="FAFBFD"/>
            <w:tcMar>
              <w:top w:w="45" w:type="dxa"/>
              <w:left w:w="70" w:type="dxa"/>
              <w:bottom w:w="45" w:type="dxa"/>
              <w:right w:w="70" w:type="dxa"/>
            </w:tcMar>
          </w:tcPr>
          <w:p>
            <w:pPr>
              <w:spacing w:after="0" w:before="0"/>
              <w:jc w:val="center"/>
            </w:pPr>
            <w:r>
              <w:rPr>
                <w:rFonts w:ascii="Calibri" w:hAnsi="Calibri" w:eastAsia="Calibri"/>
                <w:b w:val="0"/>
                <w:i w:val="0"/>
                <w:color w:val="6B7A99"/>
                <w:sz w:val="16"/>
              </w:rPr>
              <w:t>12</w:t>
            </w:r>
          </w:p>
        </w:tc>
        <w:tc>
          <w:tcPr>
            <w:tcW w:type="dxa" w:w="2835"/>
            <w:shd w:val="clear" w:color="auto" w:fill="FAFBFD"/>
            <w:tcMar>
              <w:top w:w="45" w:type="dxa"/>
              <w:left w:w="70" w:type="dxa"/>
              <w:bottom w:w="45" w:type="dxa"/>
              <w:right w:w="70" w:type="dxa"/>
            </w:tcMar>
          </w:tcPr>
          <w:p>
            <w:pPr>
              <w:spacing w:after="0" w:before="0"/>
            </w:pPr>
            <w:r>
              <w:rPr>
                <w:rFonts w:ascii="Calibri" w:hAnsi="Calibri" w:eastAsia="Calibri"/>
                <w:b/>
                <w:i w:val="0"/>
                <w:color w:val="0F2B54"/>
                <w:sz w:val="19"/>
              </w:rPr>
              <w:t>TVSMOTOR [NEW]</w:t>
            </w:r>
          </w:p>
        </w:tc>
        <w:tc>
          <w:tcPr>
            <w:tcW w:type="dxa" w:w="3402"/>
            <w:shd w:val="clear" w:color="auto" w:fill="FAFBFD"/>
            <w:tcMar>
              <w:top w:w="45" w:type="dxa"/>
              <w:left w:w="70" w:type="dxa"/>
              <w:bottom w:w="45" w:type="dxa"/>
              <w:right w:w="70" w:type="dxa"/>
            </w:tcMar>
          </w:tcPr>
          <w:p>
            <w:pPr>
              <w:spacing w:after="0" w:before="0"/>
            </w:pPr>
            <w:r>
              <w:rPr>
                <w:rFonts w:ascii="Calibri" w:hAnsi="Calibri" w:eastAsia="Calibri"/>
                <w:b w:val="0"/>
                <w:i w:val="0"/>
                <w:color w:val="1A1A2E"/>
                <w:sz w:val="17"/>
              </w:rPr>
              <w:t>Automobile and Auto Components</w:t>
            </w:r>
          </w:p>
        </w:tc>
        <w:tc>
          <w:tcPr>
            <w:tcW w:type="dxa" w:w="1191"/>
            <w:shd w:val="clear" w:color="auto" w:fill="FAFBFD"/>
            <w:tcMar>
              <w:top w:w="45" w:type="dxa"/>
              <w:left w:w="70" w:type="dxa"/>
              <w:bottom w:w="45" w:type="dxa"/>
              <w:right w:w="70" w:type="dxa"/>
            </w:tcMar>
          </w:tcPr>
          <w:p>
            <w:pPr>
              <w:spacing w:after="0" w:before="0"/>
              <w:jc w:val="center"/>
            </w:pPr>
            <w:r>
              <w:rPr>
                <w:rFonts w:ascii="Consolas" w:hAnsi="Consolas" w:eastAsia="Consolas"/>
                <w:b/>
                <w:i w:val="0"/>
                <w:color w:val="1A1A2E"/>
                <w:sz w:val="18"/>
              </w:rPr>
              <w:t>2.6%</w:t>
            </w:r>
          </w:p>
        </w:tc>
        <w:tc>
          <w:tcPr>
            <w:tcW w:type="dxa" w:w="1417"/>
            <w:shd w:val="clear" w:color="auto" w:fill="FAFBFD"/>
            <w:tcMar>
              <w:top w:w="45" w:type="dxa"/>
              <w:left w:w="70" w:type="dxa"/>
              <w:bottom w:w="45" w:type="dxa"/>
              <w:right w:w="70" w:type="dxa"/>
            </w:tcMar>
          </w:tcPr>
          <w:p>
            <w:pPr>
              <w:spacing w:after="0" w:before="0"/>
              <w:jc w:val="right"/>
            </w:pPr>
            <w:r>
              <w:rPr>
                <w:rFonts w:ascii="Consolas" w:hAnsi="Consolas" w:eastAsia="Consolas"/>
                <w:b w:val="0"/>
                <w:i w:val="0"/>
                <w:color w:val="1A1A2E"/>
                <w:sz w:val="18"/>
              </w:rPr>
              <w:t>₹4,440.90</w:t>
            </w:r>
          </w:p>
        </w:tc>
        <w:tc>
          <w:tcPr>
            <w:tcW w:type="dxa" w:w="1020"/>
            <w:shd w:val="clear" w:color="auto" w:fill="FAFBFD"/>
            <w:tcMar>
              <w:top w:w="45" w:type="dxa"/>
              <w:left w:w="70" w:type="dxa"/>
              <w:bottom w:w="45" w:type="dxa"/>
              <w:right w:w="70" w:type="dxa"/>
            </w:tcMar>
          </w:tcPr>
          <w:p>
            <w:pPr>
              <w:spacing w:after="0" w:before="0"/>
              <w:jc w:val="right"/>
            </w:pPr>
            <w:r>
              <w:rPr>
                <w:rFonts w:ascii="Consolas" w:hAnsi="Consolas" w:eastAsia="Consolas"/>
                <w:b w:val="0"/>
                <w:i w:val="0"/>
                <w:color w:val="16C784"/>
                <w:sz w:val="18"/>
              </w:rPr>
              <w:t>+1.51%</w:t>
            </w:r>
          </w:p>
        </w:tc>
      </w:tr>
      <w:tr>
        <w:tc>
          <w:tcPr>
            <w:tcW w:type="dxa" w:w="567"/>
            <w:tcMar>
              <w:top w:w="45" w:type="dxa"/>
              <w:left w:w="70" w:type="dxa"/>
              <w:bottom w:w="45" w:type="dxa"/>
              <w:right w:w="70" w:type="dxa"/>
            </w:tcMar>
          </w:tcPr>
          <w:p>
            <w:pPr>
              <w:spacing w:after="0" w:before="0"/>
              <w:jc w:val="center"/>
            </w:pPr>
            <w:r>
              <w:rPr>
                <w:rFonts w:ascii="Calibri" w:hAnsi="Calibri" w:eastAsia="Calibri"/>
                <w:b w:val="0"/>
                <w:i w:val="0"/>
                <w:color w:val="6B7A99"/>
                <w:sz w:val="16"/>
              </w:rPr>
              <w:t>13</w:t>
            </w:r>
          </w:p>
        </w:tc>
        <w:tc>
          <w:tcPr>
            <w:tcW w:type="dxa" w:w="2835"/>
            <w:tcMar>
              <w:top w:w="45" w:type="dxa"/>
              <w:left w:w="70" w:type="dxa"/>
              <w:bottom w:w="45" w:type="dxa"/>
              <w:right w:w="70" w:type="dxa"/>
            </w:tcMar>
          </w:tcPr>
          <w:p>
            <w:pPr>
              <w:spacing w:after="0" w:before="0"/>
            </w:pPr>
            <w:r>
              <w:rPr>
                <w:rFonts w:ascii="Calibri" w:hAnsi="Calibri" w:eastAsia="Calibri"/>
                <w:b/>
                <w:i w:val="0"/>
                <w:color w:val="0F2B54"/>
                <w:sz w:val="19"/>
              </w:rPr>
              <w:t>CHOICEIN</w:t>
            </w:r>
          </w:p>
        </w:tc>
        <w:tc>
          <w:tcPr>
            <w:tcW w:type="dxa" w:w="3402"/>
            <w:tcMar>
              <w:top w:w="45" w:type="dxa"/>
              <w:left w:w="70" w:type="dxa"/>
              <w:bottom w:w="45" w:type="dxa"/>
              <w:right w:w="70" w:type="dxa"/>
            </w:tcMar>
          </w:tcPr>
          <w:p>
            <w:pPr>
              <w:spacing w:after="0" w:before="0"/>
            </w:pPr>
            <w:r>
              <w:rPr>
                <w:rFonts w:ascii="Calibri" w:hAnsi="Calibri" w:eastAsia="Calibri"/>
                <w:b w:val="0"/>
                <w:i w:val="0"/>
                <w:color w:val="1A1A2E"/>
                <w:sz w:val="17"/>
              </w:rPr>
              <w:t>Financial Services</w:t>
            </w:r>
          </w:p>
        </w:tc>
        <w:tc>
          <w:tcPr>
            <w:tcW w:type="dxa" w:w="1191"/>
            <w:tcMar>
              <w:top w:w="45" w:type="dxa"/>
              <w:left w:w="70" w:type="dxa"/>
              <w:bottom w:w="45" w:type="dxa"/>
              <w:right w:w="70" w:type="dxa"/>
            </w:tcMar>
          </w:tcPr>
          <w:p>
            <w:pPr>
              <w:spacing w:after="0" w:before="0"/>
              <w:jc w:val="center"/>
            </w:pPr>
            <w:r>
              <w:rPr>
                <w:rFonts w:ascii="Consolas" w:hAnsi="Consolas" w:eastAsia="Consolas"/>
                <w:b/>
                <w:i w:val="0"/>
                <w:color w:val="1A1A2E"/>
                <w:sz w:val="18"/>
              </w:rPr>
              <w:t>2.2%</w:t>
            </w:r>
          </w:p>
        </w:tc>
        <w:tc>
          <w:tcPr>
            <w:tcW w:type="dxa" w:w="1417"/>
            <w:tcMar>
              <w:top w:w="45" w:type="dxa"/>
              <w:left w:w="70" w:type="dxa"/>
              <w:bottom w:w="45" w:type="dxa"/>
              <w:right w:w="70" w:type="dxa"/>
            </w:tcMar>
          </w:tcPr>
          <w:p>
            <w:pPr>
              <w:spacing w:after="0" w:before="0"/>
              <w:jc w:val="right"/>
            </w:pPr>
            <w:r>
              <w:rPr>
                <w:rFonts w:ascii="Consolas" w:hAnsi="Consolas" w:eastAsia="Consolas"/>
                <w:b w:val="0"/>
                <w:i w:val="0"/>
                <w:color w:val="1A1A2E"/>
                <w:sz w:val="18"/>
              </w:rPr>
              <w:t>₹841.15</w:t>
            </w:r>
          </w:p>
        </w:tc>
        <w:tc>
          <w:tcPr>
            <w:tcW w:type="dxa" w:w="1020"/>
            <w:tcMar>
              <w:top w:w="45" w:type="dxa"/>
              <w:left w:w="70" w:type="dxa"/>
              <w:bottom w:w="45" w:type="dxa"/>
              <w:right w:w="70" w:type="dxa"/>
            </w:tcMar>
          </w:tcPr>
          <w:p>
            <w:pPr>
              <w:spacing w:after="0" w:before="0"/>
              <w:jc w:val="right"/>
            </w:pPr>
            <w:r>
              <w:rPr>
                <w:rFonts w:ascii="Consolas" w:hAnsi="Consolas" w:eastAsia="Consolas"/>
                <w:b w:val="0"/>
                <w:i w:val="0"/>
                <w:color w:val="16C784"/>
                <w:sz w:val="18"/>
              </w:rPr>
              <w:t>+0.95%</w:t>
            </w:r>
          </w:p>
        </w:tc>
      </w:tr>
      <w:tr>
        <w:tc>
          <w:tcPr>
            <w:tcW w:type="dxa" w:w="567"/>
            <w:shd w:val="clear" w:color="auto" w:fill="FAFBFD"/>
            <w:tcMar>
              <w:top w:w="45" w:type="dxa"/>
              <w:left w:w="70" w:type="dxa"/>
              <w:bottom w:w="45" w:type="dxa"/>
              <w:right w:w="70" w:type="dxa"/>
            </w:tcMar>
          </w:tcPr>
          <w:p>
            <w:pPr>
              <w:spacing w:after="0" w:before="0"/>
              <w:jc w:val="center"/>
            </w:pPr>
            <w:r>
              <w:rPr>
                <w:rFonts w:ascii="Calibri" w:hAnsi="Calibri" w:eastAsia="Calibri"/>
                <w:b w:val="0"/>
                <w:i w:val="0"/>
                <w:color w:val="6B7A99"/>
                <w:sz w:val="16"/>
              </w:rPr>
              <w:t>14</w:t>
            </w:r>
          </w:p>
        </w:tc>
        <w:tc>
          <w:tcPr>
            <w:tcW w:type="dxa" w:w="2835"/>
            <w:shd w:val="clear" w:color="auto" w:fill="FAFBFD"/>
            <w:tcMar>
              <w:top w:w="45" w:type="dxa"/>
              <w:left w:w="70" w:type="dxa"/>
              <w:bottom w:w="45" w:type="dxa"/>
              <w:right w:w="70" w:type="dxa"/>
            </w:tcMar>
          </w:tcPr>
          <w:p>
            <w:pPr>
              <w:spacing w:after="0" w:before="0"/>
            </w:pPr>
            <w:r>
              <w:rPr>
                <w:rFonts w:ascii="Calibri" w:hAnsi="Calibri" w:eastAsia="Calibri"/>
                <w:b/>
                <w:i w:val="0"/>
                <w:color w:val="0F2B54"/>
                <w:sz w:val="19"/>
              </w:rPr>
              <w:t>ATLANTAELE</w:t>
            </w:r>
          </w:p>
        </w:tc>
        <w:tc>
          <w:tcPr>
            <w:tcW w:type="dxa" w:w="3402"/>
            <w:shd w:val="clear" w:color="auto" w:fill="FAFBFD"/>
            <w:tcMar>
              <w:top w:w="45" w:type="dxa"/>
              <w:left w:w="70" w:type="dxa"/>
              <w:bottom w:w="45" w:type="dxa"/>
              <w:right w:w="70" w:type="dxa"/>
            </w:tcMar>
          </w:tcPr>
          <w:p>
            <w:pPr>
              <w:spacing w:after="0" w:before="0"/>
            </w:pPr>
            <w:r>
              <w:rPr>
                <w:rFonts w:ascii="Calibri" w:hAnsi="Calibri" w:eastAsia="Calibri"/>
                <w:b w:val="0"/>
                <w:i w:val="0"/>
                <w:color w:val="1A1A2E"/>
                <w:sz w:val="17"/>
              </w:rPr>
              <w:t>Capital Goods</w:t>
            </w:r>
          </w:p>
        </w:tc>
        <w:tc>
          <w:tcPr>
            <w:tcW w:type="dxa" w:w="1191"/>
            <w:shd w:val="clear" w:color="auto" w:fill="FAFBFD"/>
            <w:tcMar>
              <w:top w:w="45" w:type="dxa"/>
              <w:left w:w="70" w:type="dxa"/>
              <w:bottom w:w="45" w:type="dxa"/>
              <w:right w:w="70" w:type="dxa"/>
            </w:tcMar>
          </w:tcPr>
          <w:p>
            <w:pPr>
              <w:spacing w:after="0" w:before="0"/>
              <w:jc w:val="center"/>
            </w:pPr>
            <w:r>
              <w:rPr>
                <w:rFonts w:ascii="Consolas" w:hAnsi="Consolas" w:eastAsia="Consolas"/>
                <w:b/>
                <w:i w:val="0"/>
                <w:color w:val="1A1A2E"/>
                <w:sz w:val="18"/>
              </w:rPr>
              <w:t>1.9%</w:t>
            </w:r>
          </w:p>
        </w:tc>
        <w:tc>
          <w:tcPr>
            <w:tcW w:type="dxa" w:w="1417"/>
            <w:shd w:val="clear" w:color="auto" w:fill="FAFBFD"/>
            <w:tcMar>
              <w:top w:w="45" w:type="dxa"/>
              <w:left w:w="70" w:type="dxa"/>
              <w:bottom w:w="45" w:type="dxa"/>
              <w:right w:w="70" w:type="dxa"/>
            </w:tcMar>
          </w:tcPr>
          <w:p>
            <w:pPr>
              <w:spacing w:after="0" w:before="0"/>
              <w:jc w:val="right"/>
            </w:pPr>
            <w:r>
              <w:rPr>
                <w:rFonts w:ascii="Consolas" w:hAnsi="Consolas" w:eastAsia="Consolas"/>
                <w:b w:val="0"/>
                <w:i w:val="0"/>
                <w:color w:val="1A1A2E"/>
                <w:sz w:val="18"/>
              </w:rPr>
              <w:t>₹1,607.40</w:t>
            </w:r>
          </w:p>
        </w:tc>
        <w:tc>
          <w:tcPr>
            <w:tcW w:type="dxa" w:w="1020"/>
            <w:shd w:val="clear" w:color="auto" w:fill="FAFBFD"/>
            <w:tcMar>
              <w:top w:w="45" w:type="dxa"/>
              <w:left w:w="70" w:type="dxa"/>
              <w:bottom w:w="45" w:type="dxa"/>
              <w:right w:w="70" w:type="dxa"/>
            </w:tcMar>
          </w:tcPr>
          <w:p>
            <w:pPr>
              <w:spacing w:after="0" w:before="0"/>
              <w:jc w:val="right"/>
            </w:pPr>
            <w:r>
              <w:rPr>
                <w:rFonts w:ascii="Consolas" w:hAnsi="Consolas" w:eastAsia="Consolas"/>
                <w:b w:val="0"/>
                <w:i w:val="0"/>
                <w:color w:val="16C784"/>
                <w:sz w:val="18"/>
              </w:rPr>
              <w:t>+0.91%</w:t>
            </w:r>
          </w:p>
        </w:tc>
      </w:tr>
      <w:tr>
        <w:tc>
          <w:tcPr>
            <w:tcW w:type="dxa" w:w="567"/>
            <w:tcMar>
              <w:top w:w="45" w:type="dxa"/>
              <w:left w:w="70" w:type="dxa"/>
              <w:bottom w:w="45" w:type="dxa"/>
              <w:right w:w="70" w:type="dxa"/>
            </w:tcMar>
          </w:tcPr>
          <w:p>
            <w:pPr>
              <w:spacing w:after="0" w:before="0"/>
              <w:jc w:val="center"/>
            </w:pPr>
            <w:r>
              <w:rPr>
                <w:rFonts w:ascii="Calibri" w:hAnsi="Calibri" w:eastAsia="Calibri"/>
                <w:b w:val="0"/>
                <w:i w:val="0"/>
                <w:color w:val="6B7A99"/>
                <w:sz w:val="16"/>
              </w:rPr>
              <w:t>15</w:t>
            </w:r>
          </w:p>
        </w:tc>
        <w:tc>
          <w:tcPr>
            <w:tcW w:type="dxa" w:w="2835"/>
            <w:tcMar>
              <w:top w:w="45" w:type="dxa"/>
              <w:left w:w="70" w:type="dxa"/>
              <w:bottom w:w="45" w:type="dxa"/>
              <w:right w:w="70" w:type="dxa"/>
            </w:tcMar>
          </w:tcPr>
          <w:p>
            <w:pPr>
              <w:spacing w:after="0" w:before="0"/>
            </w:pPr>
            <w:r>
              <w:rPr>
                <w:rFonts w:ascii="Calibri" w:hAnsi="Calibri" w:eastAsia="Calibri"/>
                <w:b/>
                <w:i w:val="0"/>
                <w:color w:val="0F2B54"/>
                <w:sz w:val="19"/>
              </w:rPr>
              <w:t>SKYGOLD</w:t>
            </w:r>
          </w:p>
        </w:tc>
        <w:tc>
          <w:tcPr>
            <w:tcW w:type="dxa" w:w="3402"/>
            <w:tcMar>
              <w:top w:w="45" w:type="dxa"/>
              <w:left w:w="70" w:type="dxa"/>
              <w:bottom w:w="45" w:type="dxa"/>
              <w:right w:w="70" w:type="dxa"/>
            </w:tcMar>
          </w:tcPr>
          <w:p>
            <w:pPr>
              <w:spacing w:after="0" w:before="0"/>
            </w:pPr>
            <w:r>
              <w:rPr>
                <w:rFonts w:ascii="Calibri" w:hAnsi="Calibri" w:eastAsia="Calibri"/>
                <w:b w:val="0"/>
                <w:i w:val="0"/>
                <w:color w:val="1A1A2E"/>
                <w:sz w:val="17"/>
              </w:rPr>
              <w:t>Consumer Durables</w:t>
            </w:r>
          </w:p>
        </w:tc>
        <w:tc>
          <w:tcPr>
            <w:tcW w:type="dxa" w:w="1191"/>
            <w:tcMar>
              <w:top w:w="45" w:type="dxa"/>
              <w:left w:w="70" w:type="dxa"/>
              <w:bottom w:w="45" w:type="dxa"/>
              <w:right w:w="70" w:type="dxa"/>
            </w:tcMar>
          </w:tcPr>
          <w:p>
            <w:pPr>
              <w:spacing w:after="0" w:before="0"/>
              <w:jc w:val="center"/>
            </w:pPr>
            <w:r>
              <w:rPr>
                <w:rFonts w:ascii="Consolas" w:hAnsi="Consolas" w:eastAsia="Consolas"/>
                <w:b/>
                <w:i w:val="0"/>
                <w:color w:val="1A1A2E"/>
                <w:sz w:val="18"/>
              </w:rPr>
              <w:t>1.9%</w:t>
            </w:r>
          </w:p>
        </w:tc>
        <w:tc>
          <w:tcPr>
            <w:tcW w:type="dxa" w:w="1417"/>
            <w:tcMar>
              <w:top w:w="45" w:type="dxa"/>
              <w:left w:w="70" w:type="dxa"/>
              <w:bottom w:w="45" w:type="dxa"/>
              <w:right w:w="70" w:type="dxa"/>
            </w:tcMar>
          </w:tcPr>
          <w:p>
            <w:pPr>
              <w:spacing w:after="0" w:before="0"/>
              <w:jc w:val="right"/>
            </w:pPr>
            <w:r>
              <w:rPr>
                <w:rFonts w:ascii="Consolas" w:hAnsi="Consolas" w:eastAsia="Consolas"/>
                <w:b w:val="0"/>
                <w:i w:val="0"/>
                <w:color w:val="1A1A2E"/>
                <w:sz w:val="18"/>
              </w:rPr>
              <w:t>₹719.40</w:t>
            </w:r>
          </w:p>
        </w:tc>
        <w:tc>
          <w:tcPr>
            <w:tcW w:type="dxa" w:w="1020"/>
            <w:tcMar>
              <w:top w:w="45" w:type="dxa"/>
              <w:left w:w="70" w:type="dxa"/>
              <w:bottom w:w="45" w:type="dxa"/>
              <w:right w:w="70" w:type="dxa"/>
            </w:tcMar>
          </w:tcPr>
          <w:p>
            <w:pPr>
              <w:spacing w:after="0" w:before="0"/>
              <w:jc w:val="right"/>
            </w:pPr>
            <w:r>
              <w:rPr>
                <w:rFonts w:ascii="Consolas" w:hAnsi="Consolas" w:eastAsia="Consolas"/>
                <w:b w:val="0"/>
                <w:i w:val="0"/>
                <w:color w:val="16C784"/>
                <w:sz w:val="18"/>
              </w:rPr>
              <w:t>+4.09%</w:t>
            </w:r>
          </w:p>
        </w:tc>
      </w:tr>
      <w:tr>
        <w:tc>
          <w:tcPr>
            <w:tcW w:type="dxa" w:w="567"/>
            <w:shd w:val="clear" w:color="auto" w:fill="FAFBFD"/>
            <w:tcMar>
              <w:top w:w="45" w:type="dxa"/>
              <w:left w:w="70" w:type="dxa"/>
              <w:bottom w:w="45" w:type="dxa"/>
              <w:right w:w="70" w:type="dxa"/>
            </w:tcMar>
          </w:tcPr>
          <w:p>
            <w:pPr>
              <w:spacing w:after="0" w:before="0"/>
              <w:jc w:val="center"/>
            </w:pPr>
            <w:r>
              <w:rPr>
                <w:rFonts w:ascii="Calibri" w:hAnsi="Calibri" w:eastAsia="Calibri"/>
                <w:b w:val="0"/>
                <w:i w:val="0"/>
                <w:color w:val="6B7A99"/>
                <w:sz w:val="16"/>
              </w:rPr>
              <w:t>16</w:t>
            </w:r>
          </w:p>
        </w:tc>
        <w:tc>
          <w:tcPr>
            <w:tcW w:type="dxa" w:w="2835"/>
            <w:shd w:val="clear" w:color="auto" w:fill="FAFBFD"/>
            <w:tcMar>
              <w:top w:w="45" w:type="dxa"/>
              <w:left w:w="70" w:type="dxa"/>
              <w:bottom w:w="45" w:type="dxa"/>
              <w:right w:w="70" w:type="dxa"/>
            </w:tcMar>
          </w:tcPr>
          <w:p>
            <w:pPr>
              <w:spacing w:after="0" w:before="0"/>
            </w:pPr>
            <w:r>
              <w:rPr>
                <w:rFonts w:ascii="Calibri" w:hAnsi="Calibri" w:eastAsia="Calibri"/>
                <w:b/>
                <w:i w:val="0"/>
                <w:color w:val="0F2B54"/>
                <w:sz w:val="19"/>
              </w:rPr>
              <w:t>AETHER</w:t>
            </w:r>
          </w:p>
        </w:tc>
        <w:tc>
          <w:tcPr>
            <w:tcW w:type="dxa" w:w="3402"/>
            <w:shd w:val="clear" w:color="auto" w:fill="FAFBFD"/>
            <w:tcMar>
              <w:top w:w="45" w:type="dxa"/>
              <w:left w:w="70" w:type="dxa"/>
              <w:bottom w:w="45" w:type="dxa"/>
              <w:right w:w="70" w:type="dxa"/>
            </w:tcMar>
          </w:tcPr>
          <w:p>
            <w:pPr>
              <w:spacing w:after="0" w:before="0"/>
            </w:pPr>
            <w:r>
              <w:rPr>
                <w:rFonts w:ascii="Calibri" w:hAnsi="Calibri" w:eastAsia="Calibri"/>
                <w:b w:val="0"/>
                <w:i w:val="0"/>
                <w:color w:val="1A1A2E"/>
                <w:sz w:val="17"/>
              </w:rPr>
              <w:t>Chemicals</w:t>
            </w:r>
          </w:p>
        </w:tc>
        <w:tc>
          <w:tcPr>
            <w:tcW w:type="dxa" w:w="1191"/>
            <w:shd w:val="clear" w:color="auto" w:fill="FAFBFD"/>
            <w:tcMar>
              <w:top w:w="45" w:type="dxa"/>
              <w:left w:w="70" w:type="dxa"/>
              <w:bottom w:w="45" w:type="dxa"/>
              <w:right w:w="70" w:type="dxa"/>
            </w:tcMar>
          </w:tcPr>
          <w:p>
            <w:pPr>
              <w:spacing w:after="0" w:before="0"/>
              <w:jc w:val="center"/>
            </w:pPr>
            <w:r>
              <w:rPr>
                <w:rFonts w:ascii="Consolas" w:hAnsi="Consolas" w:eastAsia="Consolas"/>
                <w:b/>
                <w:i w:val="0"/>
                <w:color w:val="1A1A2E"/>
                <w:sz w:val="18"/>
              </w:rPr>
              <w:t>1.7%</w:t>
            </w:r>
          </w:p>
        </w:tc>
        <w:tc>
          <w:tcPr>
            <w:tcW w:type="dxa" w:w="1417"/>
            <w:shd w:val="clear" w:color="auto" w:fill="FAFBFD"/>
            <w:tcMar>
              <w:top w:w="45" w:type="dxa"/>
              <w:left w:w="70" w:type="dxa"/>
              <w:bottom w:w="45" w:type="dxa"/>
              <w:right w:w="70" w:type="dxa"/>
            </w:tcMar>
          </w:tcPr>
          <w:p>
            <w:pPr>
              <w:spacing w:after="0" w:before="0"/>
              <w:jc w:val="right"/>
            </w:pPr>
            <w:r>
              <w:rPr>
                <w:rFonts w:ascii="Consolas" w:hAnsi="Consolas" w:eastAsia="Consolas"/>
                <w:b w:val="0"/>
                <w:i w:val="0"/>
                <w:color w:val="1A1A2E"/>
                <w:sz w:val="18"/>
              </w:rPr>
              <w:t>₹1,591.60</w:t>
            </w:r>
          </w:p>
        </w:tc>
        <w:tc>
          <w:tcPr>
            <w:tcW w:type="dxa" w:w="1020"/>
            <w:shd w:val="clear" w:color="auto" w:fill="FAFBFD"/>
            <w:tcMar>
              <w:top w:w="45" w:type="dxa"/>
              <w:left w:w="70" w:type="dxa"/>
              <w:bottom w:w="45" w:type="dxa"/>
              <w:right w:w="70" w:type="dxa"/>
            </w:tcMar>
          </w:tcPr>
          <w:p>
            <w:pPr>
              <w:spacing w:after="0" w:before="0"/>
              <w:jc w:val="right"/>
            </w:pPr>
            <w:r>
              <w:rPr>
                <w:rFonts w:ascii="Consolas" w:hAnsi="Consolas" w:eastAsia="Consolas"/>
                <w:b w:val="0"/>
                <w:i w:val="0"/>
                <w:color w:val="16C784"/>
                <w:sz w:val="18"/>
              </w:rPr>
              <w:t>+0.45%</w:t>
            </w:r>
          </w:p>
        </w:tc>
      </w:tr>
      <w:tr>
        <w:tc>
          <w:tcPr>
            <w:tcW w:type="dxa" w:w="567"/>
            <w:tcMar>
              <w:top w:w="45" w:type="dxa"/>
              <w:left w:w="70" w:type="dxa"/>
              <w:bottom w:w="45" w:type="dxa"/>
              <w:right w:w="70" w:type="dxa"/>
            </w:tcMar>
          </w:tcPr>
          <w:p>
            <w:pPr>
              <w:spacing w:after="0" w:before="0"/>
              <w:jc w:val="center"/>
            </w:pPr>
            <w:r>
              <w:rPr>
                <w:rFonts w:ascii="Calibri" w:hAnsi="Calibri" w:eastAsia="Calibri"/>
                <w:b w:val="0"/>
                <w:i w:val="0"/>
                <w:color w:val="6B7A99"/>
                <w:sz w:val="16"/>
              </w:rPr>
              <w:t>17</w:t>
            </w:r>
          </w:p>
        </w:tc>
        <w:tc>
          <w:tcPr>
            <w:tcW w:type="dxa" w:w="2835"/>
            <w:tcMar>
              <w:top w:w="45" w:type="dxa"/>
              <w:left w:w="70" w:type="dxa"/>
              <w:bottom w:w="45" w:type="dxa"/>
              <w:right w:w="70" w:type="dxa"/>
            </w:tcMar>
          </w:tcPr>
          <w:p>
            <w:pPr>
              <w:spacing w:after="0" w:before="0"/>
            </w:pPr>
            <w:r>
              <w:rPr>
                <w:rFonts w:ascii="Calibri" w:hAnsi="Calibri" w:eastAsia="Calibri"/>
                <w:b/>
                <w:i w:val="0"/>
                <w:color w:val="0F2B54"/>
                <w:sz w:val="19"/>
              </w:rPr>
              <w:t>AVL</w:t>
            </w:r>
          </w:p>
        </w:tc>
        <w:tc>
          <w:tcPr>
            <w:tcW w:type="dxa" w:w="3402"/>
            <w:tcMar>
              <w:top w:w="45" w:type="dxa"/>
              <w:left w:w="70" w:type="dxa"/>
              <w:bottom w:w="45" w:type="dxa"/>
              <w:right w:w="70" w:type="dxa"/>
            </w:tcMar>
          </w:tcPr>
          <w:p>
            <w:pPr>
              <w:spacing w:after="0" w:before="0"/>
            </w:pPr>
            <w:r>
              <w:rPr>
                <w:rFonts w:ascii="Calibri" w:hAnsi="Calibri" w:eastAsia="Calibri"/>
                <w:b w:val="0"/>
                <w:i w:val="0"/>
                <w:color w:val="1A1A2E"/>
                <w:sz w:val="17"/>
              </w:rPr>
              <w:t>Consumer Services</w:t>
            </w:r>
          </w:p>
        </w:tc>
        <w:tc>
          <w:tcPr>
            <w:tcW w:type="dxa" w:w="1191"/>
            <w:tcMar>
              <w:top w:w="45" w:type="dxa"/>
              <w:left w:w="70" w:type="dxa"/>
              <w:bottom w:w="45" w:type="dxa"/>
              <w:right w:w="70" w:type="dxa"/>
            </w:tcMar>
          </w:tcPr>
          <w:p>
            <w:pPr>
              <w:spacing w:after="0" w:before="0"/>
              <w:jc w:val="center"/>
            </w:pPr>
            <w:r>
              <w:rPr>
                <w:rFonts w:ascii="Consolas" w:hAnsi="Consolas" w:eastAsia="Consolas"/>
                <w:b/>
                <w:i w:val="0"/>
                <w:color w:val="1A1A2E"/>
                <w:sz w:val="18"/>
              </w:rPr>
              <w:t>1.6%</w:t>
            </w:r>
          </w:p>
        </w:tc>
        <w:tc>
          <w:tcPr>
            <w:tcW w:type="dxa" w:w="1417"/>
            <w:tcMar>
              <w:top w:w="45" w:type="dxa"/>
              <w:left w:w="70" w:type="dxa"/>
              <w:bottom w:w="45" w:type="dxa"/>
              <w:right w:w="70" w:type="dxa"/>
            </w:tcMar>
          </w:tcPr>
          <w:p>
            <w:pPr>
              <w:spacing w:after="0" w:before="0"/>
              <w:jc w:val="right"/>
            </w:pPr>
            <w:r>
              <w:rPr>
                <w:rFonts w:ascii="Consolas" w:hAnsi="Consolas" w:eastAsia="Consolas"/>
                <w:b w:val="0"/>
                <w:i w:val="0"/>
                <w:color w:val="1A1A2E"/>
                <w:sz w:val="18"/>
              </w:rPr>
              <w:t>₹618.45</w:t>
            </w:r>
          </w:p>
        </w:tc>
        <w:tc>
          <w:tcPr>
            <w:tcW w:type="dxa" w:w="1020"/>
            <w:tcMar>
              <w:top w:w="45" w:type="dxa"/>
              <w:left w:w="70" w:type="dxa"/>
              <w:bottom w:w="45" w:type="dxa"/>
              <w:right w:w="70" w:type="dxa"/>
            </w:tcMar>
          </w:tcPr>
          <w:p>
            <w:pPr>
              <w:spacing w:after="0" w:before="0"/>
              <w:jc w:val="right"/>
            </w:pPr>
            <w:r>
              <w:rPr>
                <w:rFonts w:ascii="Consolas" w:hAnsi="Consolas" w:eastAsia="Consolas"/>
                <w:b w:val="0"/>
                <w:i w:val="0"/>
                <w:color w:val="EA3943"/>
                <w:sz w:val="18"/>
              </w:rPr>
              <w:t>-1.79%</w:t>
            </w:r>
          </w:p>
        </w:tc>
      </w:tr>
      <w:tr>
        <w:tc>
          <w:tcPr>
            <w:tcW w:type="dxa" w:w="567"/>
            <w:shd w:val="clear" w:color="auto" w:fill="FAFBFD"/>
            <w:tcMar>
              <w:top w:w="45" w:type="dxa"/>
              <w:left w:w="70" w:type="dxa"/>
              <w:bottom w:w="45" w:type="dxa"/>
              <w:right w:w="70" w:type="dxa"/>
            </w:tcMar>
          </w:tcPr>
          <w:p>
            <w:pPr>
              <w:spacing w:after="0" w:before="0"/>
              <w:jc w:val="center"/>
            </w:pPr>
            <w:r>
              <w:rPr>
                <w:rFonts w:ascii="Calibri" w:hAnsi="Calibri" w:eastAsia="Calibri"/>
                <w:b w:val="0"/>
                <w:i w:val="0"/>
                <w:color w:val="6B7A99"/>
                <w:sz w:val="16"/>
              </w:rPr>
              <w:t>18</w:t>
            </w:r>
          </w:p>
        </w:tc>
        <w:tc>
          <w:tcPr>
            <w:tcW w:type="dxa" w:w="2835"/>
            <w:shd w:val="clear" w:color="auto" w:fill="FAFBFD"/>
            <w:tcMar>
              <w:top w:w="45" w:type="dxa"/>
              <w:left w:w="70" w:type="dxa"/>
              <w:bottom w:w="45" w:type="dxa"/>
              <w:right w:w="70" w:type="dxa"/>
            </w:tcMar>
          </w:tcPr>
          <w:p>
            <w:pPr>
              <w:spacing w:after="0" w:before="0"/>
            </w:pPr>
            <w:r>
              <w:rPr>
                <w:rFonts w:ascii="Calibri" w:hAnsi="Calibri" w:eastAsia="Calibri"/>
                <w:b/>
                <w:i w:val="0"/>
                <w:color w:val="0F2B54"/>
                <w:sz w:val="19"/>
              </w:rPr>
              <w:t>SHAILY</w:t>
            </w:r>
          </w:p>
        </w:tc>
        <w:tc>
          <w:tcPr>
            <w:tcW w:type="dxa" w:w="3402"/>
            <w:shd w:val="clear" w:color="auto" w:fill="FAFBFD"/>
            <w:tcMar>
              <w:top w:w="45" w:type="dxa"/>
              <w:left w:w="70" w:type="dxa"/>
              <w:bottom w:w="45" w:type="dxa"/>
              <w:right w:w="70" w:type="dxa"/>
            </w:tcMar>
          </w:tcPr>
          <w:p>
            <w:pPr>
              <w:spacing w:after="0" w:before="0"/>
            </w:pPr>
            <w:r>
              <w:rPr>
                <w:rFonts w:ascii="Calibri" w:hAnsi="Calibri" w:eastAsia="Calibri"/>
                <w:b w:val="0"/>
                <w:i w:val="0"/>
                <w:color w:val="1A1A2E"/>
                <w:sz w:val="17"/>
              </w:rPr>
              <w:t>Consumer Durables</w:t>
            </w:r>
          </w:p>
        </w:tc>
        <w:tc>
          <w:tcPr>
            <w:tcW w:type="dxa" w:w="1191"/>
            <w:shd w:val="clear" w:color="auto" w:fill="FAFBFD"/>
            <w:tcMar>
              <w:top w:w="45" w:type="dxa"/>
              <w:left w:w="70" w:type="dxa"/>
              <w:bottom w:w="45" w:type="dxa"/>
              <w:right w:w="70" w:type="dxa"/>
            </w:tcMar>
          </w:tcPr>
          <w:p>
            <w:pPr>
              <w:spacing w:after="0" w:before="0"/>
              <w:jc w:val="center"/>
            </w:pPr>
            <w:r>
              <w:rPr>
                <w:rFonts w:ascii="Consolas" w:hAnsi="Consolas" w:eastAsia="Consolas"/>
                <w:b/>
                <w:i w:val="0"/>
                <w:color w:val="1A1A2E"/>
                <w:sz w:val="18"/>
              </w:rPr>
              <w:t>1.6%</w:t>
            </w:r>
          </w:p>
        </w:tc>
        <w:tc>
          <w:tcPr>
            <w:tcW w:type="dxa" w:w="1417"/>
            <w:shd w:val="clear" w:color="auto" w:fill="FAFBFD"/>
            <w:tcMar>
              <w:top w:w="45" w:type="dxa"/>
              <w:left w:w="70" w:type="dxa"/>
              <w:bottom w:w="45" w:type="dxa"/>
              <w:right w:w="70" w:type="dxa"/>
            </w:tcMar>
          </w:tcPr>
          <w:p>
            <w:pPr>
              <w:spacing w:after="0" w:before="0"/>
              <w:jc w:val="right"/>
            </w:pPr>
            <w:r>
              <w:rPr>
                <w:rFonts w:ascii="Consolas" w:hAnsi="Consolas" w:eastAsia="Consolas"/>
                <w:b w:val="0"/>
                <w:i w:val="0"/>
                <w:color w:val="1A1A2E"/>
                <w:sz w:val="18"/>
              </w:rPr>
              <w:t>₹3,162.30</w:t>
            </w:r>
          </w:p>
        </w:tc>
        <w:tc>
          <w:tcPr>
            <w:tcW w:type="dxa" w:w="1020"/>
            <w:shd w:val="clear" w:color="auto" w:fill="FAFBFD"/>
            <w:tcMar>
              <w:top w:w="45" w:type="dxa"/>
              <w:left w:w="70" w:type="dxa"/>
              <w:bottom w:w="45" w:type="dxa"/>
              <w:right w:w="70" w:type="dxa"/>
            </w:tcMar>
          </w:tcPr>
          <w:p>
            <w:pPr>
              <w:spacing w:after="0" w:before="0"/>
              <w:jc w:val="right"/>
            </w:pPr>
            <w:r>
              <w:rPr>
                <w:rFonts w:ascii="Consolas" w:hAnsi="Consolas" w:eastAsia="Consolas"/>
                <w:b w:val="0"/>
                <w:i w:val="0"/>
                <w:color w:val="EA3943"/>
                <w:sz w:val="18"/>
              </w:rPr>
              <w:t>-6.06%</w:t>
            </w:r>
          </w:p>
        </w:tc>
      </w:tr>
      <w:tr>
        <w:tc>
          <w:tcPr>
            <w:tcW w:type="dxa" w:w="567"/>
            <w:tcMar>
              <w:top w:w="45" w:type="dxa"/>
              <w:left w:w="70" w:type="dxa"/>
              <w:bottom w:w="45" w:type="dxa"/>
              <w:right w:w="70" w:type="dxa"/>
            </w:tcMar>
          </w:tcPr>
          <w:p>
            <w:pPr>
              <w:spacing w:after="0" w:before="0"/>
              <w:jc w:val="center"/>
            </w:pPr>
            <w:r>
              <w:rPr>
                <w:rFonts w:ascii="Calibri" w:hAnsi="Calibri" w:eastAsia="Calibri"/>
                <w:b w:val="0"/>
                <w:i w:val="0"/>
                <w:color w:val="6B7A99"/>
                <w:sz w:val="16"/>
              </w:rPr>
              <w:t>19</w:t>
            </w:r>
          </w:p>
        </w:tc>
        <w:tc>
          <w:tcPr>
            <w:tcW w:type="dxa" w:w="2835"/>
            <w:tcMar>
              <w:top w:w="45" w:type="dxa"/>
              <w:left w:w="70" w:type="dxa"/>
              <w:bottom w:w="45" w:type="dxa"/>
              <w:right w:w="70" w:type="dxa"/>
            </w:tcMar>
          </w:tcPr>
          <w:p>
            <w:pPr>
              <w:spacing w:after="0" w:before="0"/>
            </w:pPr>
            <w:r>
              <w:rPr>
                <w:rFonts w:ascii="Calibri" w:hAnsi="Calibri" w:eastAsia="Calibri"/>
                <w:b/>
                <w:i w:val="0"/>
                <w:color w:val="0F2B54"/>
                <w:sz w:val="19"/>
              </w:rPr>
              <w:t>JSLL</w:t>
            </w:r>
          </w:p>
        </w:tc>
        <w:tc>
          <w:tcPr>
            <w:tcW w:type="dxa" w:w="3402"/>
            <w:tcMar>
              <w:top w:w="45" w:type="dxa"/>
              <w:left w:w="70" w:type="dxa"/>
              <w:bottom w:w="45" w:type="dxa"/>
              <w:right w:w="70" w:type="dxa"/>
            </w:tcMar>
          </w:tcPr>
          <w:p>
            <w:pPr>
              <w:spacing w:after="0" w:before="0"/>
            </w:pPr>
            <w:r>
              <w:rPr>
                <w:rFonts w:ascii="Calibri" w:hAnsi="Calibri" w:eastAsia="Calibri"/>
                <w:b w:val="0"/>
                <w:i w:val="0"/>
                <w:color w:val="1A1A2E"/>
                <w:sz w:val="17"/>
              </w:rPr>
              <w:t>Consumer Services</w:t>
            </w:r>
          </w:p>
        </w:tc>
        <w:tc>
          <w:tcPr>
            <w:tcW w:type="dxa" w:w="1191"/>
            <w:tcMar>
              <w:top w:w="45" w:type="dxa"/>
              <w:left w:w="70" w:type="dxa"/>
              <w:bottom w:w="45" w:type="dxa"/>
              <w:right w:w="70" w:type="dxa"/>
            </w:tcMar>
          </w:tcPr>
          <w:p>
            <w:pPr>
              <w:spacing w:after="0" w:before="0"/>
              <w:jc w:val="center"/>
            </w:pPr>
            <w:r>
              <w:rPr>
                <w:rFonts w:ascii="Consolas" w:hAnsi="Consolas" w:eastAsia="Consolas"/>
                <w:b/>
                <w:i w:val="0"/>
                <w:color w:val="1A1A2E"/>
                <w:sz w:val="18"/>
              </w:rPr>
              <w:t>1.3%</w:t>
            </w:r>
          </w:p>
        </w:tc>
        <w:tc>
          <w:tcPr>
            <w:tcW w:type="dxa" w:w="1417"/>
            <w:tcMar>
              <w:top w:w="45" w:type="dxa"/>
              <w:left w:w="70" w:type="dxa"/>
              <w:bottom w:w="45" w:type="dxa"/>
              <w:right w:w="70" w:type="dxa"/>
            </w:tcMar>
          </w:tcPr>
          <w:p>
            <w:pPr>
              <w:spacing w:after="0" w:before="0"/>
              <w:jc w:val="right"/>
            </w:pPr>
            <w:r>
              <w:rPr>
                <w:rFonts w:ascii="Consolas" w:hAnsi="Consolas" w:eastAsia="Consolas"/>
                <w:b w:val="0"/>
                <w:i w:val="0"/>
                <w:color w:val="1A1A2E"/>
                <w:sz w:val="18"/>
              </w:rPr>
              <w:t>₹598.10</w:t>
            </w:r>
          </w:p>
        </w:tc>
        <w:tc>
          <w:tcPr>
            <w:tcW w:type="dxa" w:w="1020"/>
            <w:tcMar>
              <w:top w:w="45" w:type="dxa"/>
              <w:left w:w="70" w:type="dxa"/>
              <w:bottom w:w="45" w:type="dxa"/>
              <w:right w:w="70" w:type="dxa"/>
            </w:tcMar>
          </w:tcPr>
          <w:p>
            <w:pPr>
              <w:spacing w:after="0" w:before="0"/>
              <w:jc w:val="right"/>
            </w:pPr>
            <w:r>
              <w:rPr>
                <w:rFonts w:ascii="Consolas" w:hAnsi="Consolas" w:eastAsia="Consolas"/>
                <w:b w:val="0"/>
                <w:i w:val="0"/>
                <w:color w:val="EA3943"/>
                <w:sz w:val="18"/>
              </w:rPr>
              <w:t>-1.02%</w:t>
            </w:r>
          </w:p>
        </w:tc>
      </w:tr>
      <w:tr>
        <w:tc>
          <w:tcPr>
            <w:tcW w:type="dxa" w:w="567"/>
            <w:shd w:val="clear" w:color="auto" w:fill="FAFBFD"/>
            <w:tcMar>
              <w:top w:w="45" w:type="dxa"/>
              <w:left w:w="70" w:type="dxa"/>
              <w:bottom w:w="45" w:type="dxa"/>
              <w:right w:w="70" w:type="dxa"/>
            </w:tcMar>
          </w:tcPr>
          <w:p>
            <w:pPr>
              <w:spacing w:after="0" w:before="0"/>
              <w:jc w:val="center"/>
            </w:pPr>
            <w:r>
              <w:rPr>
                <w:rFonts w:ascii="Calibri" w:hAnsi="Calibri" w:eastAsia="Calibri"/>
                <w:b w:val="0"/>
                <w:i w:val="0"/>
                <w:color w:val="6B7A99"/>
                <w:sz w:val="16"/>
              </w:rPr>
              <w:t>20</w:t>
            </w:r>
          </w:p>
        </w:tc>
        <w:tc>
          <w:tcPr>
            <w:tcW w:type="dxa" w:w="2835"/>
            <w:shd w:val="clear" w:color="auto" w:fill="FAFBFD"/>
            <w:tcMar>
              <w:top w:w="45" w:type="dxa"/>
              <w:left w:w="70" w:type="dxa"/>
              <w:bottom w:w="45" w:type="dxa"/>
              <w:right w:w="70" w:type="dxa"/>
            </w:tcMar>
          </w:tcPr>
          <w:p>
            <w:pPr>
              <w:spacing w:after="0" w:before="0"/>
            </w:pPr>
            <w:r>
              <w:rPr>
                <w:rFonts w:ascii="Calibri" w:hAnsi="Calibri" w:eastAsia="Calibri"/>
                <w:b/>
                <w:i w:val="0"/>
                <w:color w:val="0F2B54"/>
                <w:sz w:val="19"/>
              </w:rPr>
              <w:t>GOKULAGRO</w:t>
            </w:r>
          </w:p>
        </w:tc>
        <w:tc>
          <w:tcPr>
            <w:tcW w:type="dxa" w:w="3402"/>
            <w:shd w:val="clear" w:color="auto" w:fill="FAFBFD"/>
            <w:tcMar>
              <w:top w:w="45" w:type="dxa"/>
              <w:left w:w="70" w:type="dxa"/>
              <w:bottom w:w="45" w:type="dxa"/>
              <w:right w:w="70" w:type="dxa"/>
            </w:tcMar>
          </w:tcPr>
          <w:p>
            <w:pPr>
              <w:spacing w:after="0" w:before="0"/>
            </w:pPr>
            <w:r>
              <w:rPr>
                <w:rFonts w:ascii="Calibri" w:hAnsi="Calibri" w:eastAsia="Calibri"/>
                <w:b w:val="0"/>
                <w:i w:val="0"/>
                <w:color w:val="1A1A2E"/>
                <w:sz w:val="17"/>
              </w:rPr>
              <w:t>Fast Moving Consumer Goods</w:t>
            </w:r>
          </w:p>
        </w:tc>
        <w:tc>
          <w:tcPr>
            <w:tcW w:type="dxa" w:w="1191"/>
            <w:shd w:val="clear" w:color="auto" w:fill="FAFBFD"/>
            <w:tcMar>
              <w:top w:w="45" w:type="dxa"/>
              <w:left w:w="70" w:type="dxa"/>
              <w:bottom w:w="45" w:type="dxa"/>
              <w:right w:w="70" w:type="dxa"/>
            </w:tcMar>
          </w:tcPr>
          <w:p>
            <w:pPr>
              <w:spacing w:after="0" w:before="0"/>
              <w:jc w:val="center"/>
            </w:pPr>
            <w:r>
              <w:rPr>
                <w:rFonts w:ascii="Consolas" w:hAnsi="Consolas" w:eastAsia="Consolas"/>
                <w:b/>
                <w:i w:val="0"/>
                <w:color w:val="1A1A2E"/>
                <w:sz w:val="18"/>
              </w:rPr>
              <w:t>1.2%</w:t>
            </w:r>
          </w:p>
        </w:tc>
        <w:tc>
          <w:tcPr>
            <w:tcW w:type="dxa" w:w="1417"/>
            <w:shd w:val="clear" w:color="auto" w:fill="FAFBFD"/>
            <w:tcMar>
              <w:top w:w="45" w:type="dxa"/>
              <w:left w:w="70" w:type="dxa"/>
              <w:bottom w:w="45" w:type="dxa"/>
              <w:right w:w="70" w:type="dxa"/>
            </w:tcMar>
          </w:tcPr>
          <w:p>
            <w:pPr>
              <w:spacing w:after="0" w:before="0"/>
              <w:jc w:val="right"/>
            </w:pPr>
            <w:r>
              <w:rPr>
                <w:rFonts w:ascii="Consolas" w:hAnsi="Consolas" w:eastAsia="Consolas"/>
                <w:b w:val="0"/>
                <w:i w:val="0"/>
                <w:color w:val="1A1A2E"/>
                <w:sz w:val="18"/>
              </w:rPr>
              <w:t>₹228.80</w:t>
            </w:r>
          </w:p>
        </w:tc>
        <w:tc>
          <w:tcPr>
            <w:tcW w:type="dxa" w:w="1020"/>
            <w:shd w:val="clear" w:color="auto" w:fill="FAFBFD"/>
            <w:tcMar>
              <w:top w:w="45" w:type="dxa"/>
              <w:left w:w="70" w:type="dxa"/>
              <w:bottom w:w="45" w:type="dxa"/>
              <w:right w:w="70" w:type="dxa"/>
            </w:tcMar>
          </w:tcPr>
          <w:p>
            <w:pPr>
              <w:spacing w:after="0" w:before="0"/>
              <w:jc w:val="right"/>
            </w:pPr>
            <w:r>
              <w:rPr>
                <w:rFonts w:ascii="Consolas" w:hAnsi="Consolas" w:eastAsia="Consolas"/>
                <w:b w:val="0"/>
                <w:i w:val="0"/>
                <w:color w:val="16C784"/>
                <w:sz w:val="18"/>
              </w:rPr>
              <w:t>+1.90%</w:t>
            </w:r>
          </w:p>
        </w:tc>
      </w:tr>
      <w:tr>
        <w:tc>
          <w:tcPr>
            <w:tcW w:type="dxa" w:w="567"/>
            <w:tcMar>
              <w:top w:w="45" w:type="dxa"/>
              <w:left w:w="70" w:type="dxa"/>
              <w:bottom w:w="45" w:type="dxa"/>
              <w:right w:w="70" w:type="dxa"/>
            </w:tcMar>
          </w:tcPr>
          <w:p>
            <w:pPr>
              <w:spacing w:after="0" w:before="0"/>
              <w:jc w:val="center"/>
            </w:pPr>
            <w:r>
              <w:rPr>
                <w:rFonts w:ascii="Calibri" w:hAnsi="Calibri" w:eastAsia="Calibri"/>
                <w:b w:val="0"/>
                <w:i w:val="0"/>
                <w:color w:val="6B7A99"/>
                <w:sz w:val="16"/>
              </w:rPr>
              <w:t>21</w:t>
            </w:r>
          </w:p>
        </w:tc>
        <w:tc>
          <w:tcPr>
            <w:tcW w:type="dxa" w:w="2835"/>
            <w:tcMar>
              <w:top w:w="45" w:type="dxa"/>
              <w:left w:w="70" w:type="dxa"/>
              <w:bottom w:w="45" w:type="dxa"/>
              <w:right w:w="70" w:type="dxa"/>
            </w:tcMar>
          </w:tcPr>
          <w:p>
            <w:pPr>
              <w:spacing w:after="0" w:before="0"/>
            </w:pPr>
            <w:r>
              <w:rPr>
                <w:rFonts w:ascii="Calibri" w:hAnsi="Calibri" w:eastAsia="Calibri"/>
                <w:b/>
                <w:i w:val="0"/>
                <w:color w:val="0F2B54"/>
                <w:sz w:val="19"/>
              </w:rPr>
              <w:t>SMLMAH [NEW]</w:t>
            </w:r>
          </w:p>
        </w:tc>
        <w:tc>
          <w:tcPr>
            <w:tcW w:type="dxa" w:w="3402"/>
            <w:tcMar>
              <w:top w:w="45" w:type="dxa"/>
              <w:left w:w="70" w:type="dxa"/>
              <w:bottom w:w="45" w:type="dxa"/>
              <w:right w:w="70" w:type="dxa"/>
            </w:tcMar>
          </w:tcPr>
          <w:p>
            <w:pPr>
              <w:spacing w:after="0" w:before="0"/>
            </w:pPr>
            <w:r>
              <w:rPr>
                <w:rFonts w:ascii="Calibri" w:hAnsi="Calibri" w:eastAsia="Calibri"/>
                <w:b w:val="0"/>
                <w:i w:val="0"/>
                <w:color w:val="1A1A2E"/>
                <w:sz w:val="17"/>
              </w:rPr>
              <w:t>Capital Goods</w:t>
            </w:r>
          </w:p>
        </w:tc>
        <w:tc>
          <w:tcPr>
            <w:tcW w:type="dxa" w:w="1191"/>
            <w:tcMar>
              <w:top w:w="45" w:type="dxa"/>
              <w:left w:w="70" w:type="dxa"/>
              <w:bottom w:w="45" w:type="dxa"/>
              <w:right w:w="70" w:type="dxa"/>
            </w:tcMar>
          </w:tcPr>
          <w:p>
            <w:pPr>
              <w:spacing w:after="0" w:before="0"/>
              <w:jc w:val="center"/>
            </w:pPr>
            <w:r>
              <w:rPr>
                <w:rFonts w:ascii="Consolas" w:hAnsi="Consolas" w:eastAsia="Consolas"/>
                <w:b/>
                <w:i w:val="0"/>
                <w:color w:val="1A1A2E"/>
                <w:sz w:val="18"/>
              </w:rPr>
              <w:t>1.1%</w:t>
            </w:r>
          </w:p>
        </w:tc>
        <w:tc>
          <w:tcPr>
            <w:tcW w:type="dxa" w:w="1417"/>
            <w:tcMar>
              <w:top w:w="45" w:type="dxa"/>
              <w:left w:w="70" w:type="dxa"/>
              <w:bottom w:w="45" w:type="dxa"/>
              <w:right w:w="70" w:type="dxa"/>
            </w:tcMar>
          </w:tcPr>
          <w:p>
            <w:pPr>
              <w:spacing w:after="0" w:before="0"/>
              <w:jc w:val="right"/>
            </w:pPr>
            <w:r>
              <w:rPr>
                <w:rFonts w:ascii="Consolas" w:hAnsi="Consolas" w:eastAsia="Consolas"/>
                <w:b w:val="0"/>
                <w:i w:val="0"/>
                <w:color w:val="1A1A2E"/>
                <w:sz w:val="18"/>
              </w:rPr>
              <w:t>₹5,554.00</w:t>
            </w:r>
          </w:p>
        </w:tc>
        <w:tc>
          <w:tcPr>
            <w:tcW w:type="dxa" w:w="1020"/>
            <w:tcMar>
              <w:top w:w="45" w:type="dxa"/>
              <w:left w:w="70" w:type="dxa"/>
              <w:bottom w:w="45" w:type="dxa"/>
              <w:right w:w="70" w:type="dxa"/>
            </w:tcMar>
          </w:tcPr>
          <w:p>
            <w:pPr>
              <w:spacing w:after="0" w:before="0"/>
              <w:jc w:val="right"/>
            </w:pPr>
            <w:r>
              <w:rPr>
                <w:rFonts w:ascii="Consolas" w:hAnsi="Consolas" w:eastAsia="Consolas"/>
                <w:b w:val="0"/>
                <w:i w:val="0"/>
                <w:color w:val="EA3943"/>
                <w:sz w:val="18"/>
              </w:rPr>
              <w:t>-2.09%</w:t>
            </w:r>
          </w:p>
        </w:tc>
      </w:tr>
      <w:tr>
        <w:tc>
          <w:tcPr>
            <w:tcW w:type="dxa" w:w="567"/>
            <w:shd w:val="clear" w:color="auto" w:fill="FAFBFD"/>
            <w:tcMar>
              <w:top w:w="45" w:type="dxa"/>
              <w:left w:w="70" w:type="dxa"/>
              <w:bottom w:w="45" w:type="dxa"/>
              <w:right w:w="70" w:type="dxa"/>
            </w:tcMar>
          </w:tcPr>
          <w:p>
            <w:pPr>
              <w:spacing w:after="0" w:before="0"/>
              <w:jc w:val="center"/>
            </w:pPr>
            <w:r>
              <w:rPr>
                <w:rFonts w:ascii="Calibri" w:hAnsi="Calibri" w:eastAsia="Calibri"/>
                <w:b w:val="0"/>
                <w:i w:val="0"/>
                <w:color w:val="6B7A99"/>
                <w:sz w:val="16"/>
              </w:rPr>
              <w:t>22</w:t>
            </w:r>
          </w:p>
        </w:tc>
        <w:tc>
          <w:tcPr>
            <w:tcW w:type="dxa" w:w="2835"/>
            <w:shd w:val="clear" w:color="auto" w:fill="FAFBFD"/>
            <w:tcMar>
              <w:top w:w="45" w:type="dxa"/>
              <w:left w:w="70" w:type="dxa"/>
              <w:bottom w:w="45" w:type="dxa"/>
              <w:right w:w="70" w:type="dxa"/>
            </w:tcMar>
          </w:tcPr>
          <w:p>
            <w:pPr>
              <w:spacing w:after="0" w:before="0"/>
            </w:pPr>
            <w:r>
              <w:rPr>
                <w:rFonts w:ascii="Calibri" w:hAnsi="Calibri" w:eastAsia="Calibri"/>
                <w:b/>
                <w:i w:val="0"/>
                <w:color w:val="0F2B54"/>
                <w:sz w:val="19"/>
              </w:rPr>
              <w:t>PGIL</w:t>
            </w:r>
          </w:p>
        </w:tc>
        <w:tc>
          <w:tcPr>
            <w:tcW w:type="dxa" w:w="3402"/>
            <w:shd w:val="clear" w:color="auto" w:fill="FAFBFD"/>
            <w:tcMar>
              <w:top w:w="45" w:type="dxa"/>
              <w:left w:w="70" w:type="dxa"/>
              <w:bottom w:w="45" w:type="dxa"/>
              <w:right w:w="70" w:type="dxa"/>
            </w:tcMar>
          </w:tcPr>
          <w:p>
            <w:pPr>
              <w:spacing w:after="0" w:before="0"/>
            </w:pPr>
            <w:r>
              <w:rPr>
                <w:rFonts w:ascii="Calibri" w:hAnsi="Calibri" w:eastAsia="Calibri"/>
                <w:b w:val="0"/>
                <w:i w:val="0"/>
                <w:color w:val="1A1A2E"/>
                <w:sz w:val="17"/>
              </w:rPr>
              <w:t>Textiles</w:t>
            </w:r>
          </w:p>
        </w:tc>
        <w:tc>
          <w:tcPr>
            <w:tcW w:type="dxa" w:w="1191"/>
            <w:shd w:val="clear" w:color="auto" w:fill="FAFBFD"/>
            <w:tcMar>
              <w:top w:w="45" w:type="dxa"/>
              <w:left w:w="70" w:type="dxa"/>
              <w:bottom w:w="45" w:type="dxa"/>
              <w:right w:w="70" w:type="dxa"/>
            </w:tcMar>
          </w:tcPr>
          <w:p>
            <w:pPr>
              <w:spacing w:after="0" w:before="0"/>
              <w:jc w:val="center"/>
            </w:pPr>
            <w:r>
              <w:rPr>
                <w:rFonts w:ascii="Consolas" w:hAnsi="Consolas" w:eastAsia="Consolas"/>
                <w:b/>
                <w:i w:val="0"/>
                <w:color w:val="1A1A2E"/>
                <w:sz w:val="18"/>
              </w:rPr>
              <w:t>0.7%</w:t>
            </w:r>
          </w:p>
        </w:tc>
        <w:tc>
          <w:tcPr>
            <w:tcW w:type="dxa" w:w="1417"/>
            <w:shd w:val="clear" w:color="auto" w:fill="FAFBFD"/>
            <w:tcMar>
              <w:top w:w="45" w:type="dxa"/>
              <w:left w:w="70" w:type="dxa"/>
              <w:bottom w:w="45" w:type="dxa"/>
              <w:right w:w="70" w:type="dxa"/>
            </w:tcMar>
          </w:tcPr>
          <w:p>
            <w:pPr>
              <w:spacing w:after="0" w:before="0"/>
              <w:jc w:val="right"/>
            </w:pPr>
            <w:r>
              <w:rPr>
                <w:rFonts w:ascii="Consolas" w:hAnsi="Consolas" w:eastAsia="Consolas"/>
                <w:b w:val="0"/>
                <w:i w:val="0"/>
                <w:color w:val="1A1A2E"/>
                <w:sz w:val="18"/>
              </w:rPr>
              <w:t>₹2,464.10</w:t>
            </w:r>
          </w:p>
        </w:tc>
        <w:tc>
          <w:tcPr>
            <w:tcW w:type="dxa" w:w="1020"/>
            <w:shd w:val="clear" w:color="auto" w:fill="FAFBFD"/>
            <w:tcMar>
              <w:top w:w="45" w:type="dxa"/>
              <w:left w:w="70" w:type="dxa"/>
              <w:bottom w:w="45" w:type="dxa"/>
              <w:right w:w="70" w:type="dxa"/>
            </w:tcMar>
          </w:tcPr>
          <w:p>
            <w:pPr>
              <w:spacing w:after="0" w:before="0"/>
              <w:jc w:val="right"/>
            </w:pPr>
            <w:r>
              <w:rPr>
                <w:rFonts w:ascii="Consolas" w:hAnsi="Consolas" w:eastAsia="Consolas"/>
                <w:b w:val="0"/>
                <w:i w:val="0"/>
                <w:color w:val="16C784"/>
                <w:sz w:val="18"/>
              </w:rPr>
              <w:t>+10.92%</w:t>
            </w:r>
          </w:p>
        </w:tc>
      </w:tr>
      <w:tr>
        <w:tc>
          <w:tcPr>
            <w:tcW w:type="dxa" w:w="567"/>
            <w:tcMar>
              <w:top w:w="45" w:type="dxa"/>
              <w:left w:w="70" w:type="dxa"/>
              <w:bottom w:w="45" w:type="dxa"/>
              <w:right w:w="70" w:type="dxa"/>
            </w:tcMar>
          </w:tcPr>
          <w:p>
            <w:pPr>
              <w:spacing w:after="0" w:before="0"/>
              <w:jc w:val="center"/>
            </w:pPr>
            <w:r>
              <w:rPr>
                <w:rFonts w:ascii="Calibri" w:hAnsi="Calibri" w:eastAsia="Calibri"/>
                <w:b w:val="0"/>
                <w:i w:val="0"/>
                <w:color w:val="6B7A99"/>
                <w:sz w:val="16"/>
              </w:rPr>
              <w:t>23</w:t>
            </w:r>
          </w:p>
        </w:tc>
        <w:tc>
          <w:tcPr>
            <w:tcW w:type="dxa" w:w="2835"/>
            <w:tcMar>
              <w:top w:w="45" w:type="dxa"/>
              <w:left w:w="70" w:type="dxa"/>
              <w:bottom w:w="45" w:type="dxa"/>
              <w:right w:w="70" w:type="dxa"/>
            </w:tcMar>
          </w:tcPr>
          <w:p>
            <w:pPr>
              <w:spacing w:after="0" w:before="0"/>
            </w:pPr>
            <w:r>
              <w:rPr>
                <w:rFonts w:ascii="Calibri" w:hAnsi="Calibri" w:eastAsia="Calibri"/>
                <w:b/>
                <w:i w:val="0"/>
                <w:color w:val="0F2B54"/>
                <w:sz w:val="19"/>
              </w:rPr>
              <w:t>PGEL</w:t>
            </w:r>
          </w:p>
        </w:tc>
        <w:tc>
          <w:tcPr>
            <w:tcW w:type="dxa" w:w="3402"/>
            <w:tcMar>
              <w:top w:w="45" w:type="dxa"/>
              <w:left w:w="70" w:type="dxa"/>
              <w:bottom w:w="45" w:type="dxa"/>
              <w:right w:w="70" w:type="dxa"/>
            </w:tcMar>
          </w:tcPr>
          <w:p>
            <w:pPr>
              <w:spacing w:after="0" w:before="0"/>
            </w:pPr>
            <w:r>
              <w:rPr>
                <w:rFonts w:ascii="Calibri" w:hAnsi="Calibri" w:eastAsia="Calibri"/>
                <w:b w:val="0"/>
                <w:i w:val="0"/>
                <w:color w:val="1A1A2E"/>
                <w:sz w:val="17"/>
              </w:rPr>
              <w:t>Consumer Durables</w:t>
            </w:r>
          </w:p>
        </w:tc>
        <w:tc>
          <w:tcPr>
            <w:tcW w:type="dxa" w:w="1191"/>
            <w:tcMar>
              <w:top w:w="45" w:type="dxa"/>
              <w:left w:w="70" w:type="dxa"/>
              <w:bottom w:w="45" w:type="dxa"/>
              <w:right w:w="70" w:type="dxa"/>
            </w:tcMar>
          </w:tcPr>
          <w:p>
            <w:pPr>
              <w:spacing w:after="0" w:before="0"/>
              <w:jc w:val="center"/>
            </w:pPr>
            <w:r>
              <w:rPr>
                <w:rFonts w:ascii="Consolas" w:hAnsi="Consolas" w:eastAsia="Consolas"/>
                <w:b/>
                <w:i w:val="0"/>
                <w:color w:val="1A1A2E"/>
                <w:sz w:val="18"/>
              </w:rPr>
              <w:t>0.7%</w:t>
            </w:r>
          </w:p>
        </w:tc>
        <w:tc>
          <w:tcPr>
            <w:tcW w:type="dxa" w:w="1417"/>
            <w:tcMar>
              <w:top w:w="45" w:type="dxa"/>
              <w:left w:w="70" w:type="dxa"/>
              <w:bottom w:w="45" w:type="dxa"/>
              <w:right w:w="70" w:type="dxa"/>
            </w:tcMar>
          </w:tcPr>
          <w:p>
            <w:pPr>
              <w:spacing w:after="0" w:before="0"/>
              <w:jc w:val="right"/>
            </w:pPr>
            <w:r>
              <w:rPr>
                <w:rFonts w:ascii="Consolas" w:hAnsi="Consolas" w:eastAsia="Consolas"/>
                <w:b w:val="0"/>
                <w:i w:val="0"/>
                <w:color w:val="1A1A2E"/>
                <w:sz w:val="18"/>
              </w:rPr>
              <w:t>₹630.65</w:t>
            </w:r>
          </w:p>
        </w:tc>
        <w:tc>
          <w:tcPr>
            <w:tcW w:type="dxa" w:w="1020"/>
            <w:tcMar>
              <w:top w:w="45" w:type="dxa"/>
              <w:left w:w="70" w:type="dxa"/>
              <w:bottom w:w="45" w:type="dxa"/>
              <w:right w:w="70" w:type="dxa"/>
            </w:tcMar>
          </w:tcPr>
          <w:p>
            <w:pPr>
              <w:spacing w:after="0" w:before="0"/>
              <w:jc w:val="right"/>
            </w:pPr>
            <w:r>
              <w:rPr>
                <w:rFonts w:ascii="Consolas" w:hAnsi="Consolas" w:eastAsia="Consolas"/>
                <w:b w:val="0"/>
                <w:i w:val="0"/>
                <w:color w:val="16C784"/>
                <w:sz w:val="18"/>
              </w:rPr>
              <w:t>+3.43%</w:t>
            </w:r>
          </w:p>
        </w:tc>
      </w:tr>
      <w:tr>
        <w:tc>
          <w:tcPr>
            <w:tcW w:type="dxa" w:w="567"/>
            <w:shd w:val="clear" w:color="auto" w:fill="FAFBFD"/>
            <w:tcMar>
              <w:top w:w="45" w:type="dxa"/>
              <w:left w:w="70" w:type="dxa"/>
              <w:bottom w:w="45" w:type="dxa"/>
              <w:right w:w="70" w:type="dxa"/>
            </w:tcMar>
          </w:tcPr>
          <w:p>
            <w:pPr>
              <w:spacing w:after="0" w:before="0"/>
              <w:jc w:val="center"/>
            </w:pPr>
            <w:r>
              <w:rPr>
                <w:rFonts w:ascii="Calibri" w:hAnsi="Calibri" w:eastAsia="Calibri"/>
                <w:b w:val="0"/>
                <w:i w:val="0"/>
                <w:color w:val="6B7A99"/>
                <w:sz w:val="16"/>
              </w:rPr>
              <w:t>24</w:t>
            </w:r>
          </w:p>
        </w:tc>
        <w:tc>
          <w:tcPr>
            <w:tcW w:type="dxa" w:w="2835"/>
            <w:shd w:val="clear" w:color="auto" w:fill="FAFBFD"/>
            <w:tcMar>
              <w:top w:w="45" w:type="dxa"/>
              <w:left w:w="70" w:type="dxa"/>
              <w:bottom w:w="45" w:type="dxa"/>
              <w:right w:w="70" w:type="dxa"/>
            </w:tcMar>
          </w:tcPr>
          <w:p>
            <w:pPr>
              <w:spacing w:after="0" w:before="0"/>
            </w:pPr>
            <w:r>
              <w:rPr>
                <w:rFonts w:ascii="Calibri" w:hAnsi="Calibri" w:eastAsia="Calibri"/>
                <w:b/>
                <w:i w:val="0"/>
                <w:color w:val="0F2B54"/>
                <w:sz w:val="19"/>
              </w:rPr>
              <w:t>TARIL</w:t>
            </w:r>
          </w:p>
        </w:tc>
        <w:tc>
          <w:tcPr>
            <w:tcW w:type="dxa" w:w="3402"/>
            <w:shd w:val="clear" w:color="auto" w:fill="FAFBFD"/>
            <w:tcMar>
              <w:top w:w="45" w:type="dxa"/>
              <w:left w:w="70" w:type="dxa"/>
              <w:bottom w:w="45" w:type="dxa"/>
              <w:right w:w="70" w:type="dxa"/>
            </w:tcMar>
          </w:tcPr>
          <w:p>
            <w:pPr>
              <w:spacing w:after="0" w:before="0"/>
            </w:pPr>
            <w:r>
              <w:rPr>
                <w:rFonts w:ascii="Calibri" w:hAnsi="Calibri" w:eastAsia="Calibri"/>
                <w:b w:val="0"/>
                <w:i w:val="0"/>
                <w:color w:val="1A1A2E"/>
                <w:sz w:val="17"/>
              </w:rPr>
              <w:t>Capital Goods</w:t>
            </w:r>
          </w:p>
        </w:tc>
        <w:tc>
          <w:tcPr>
            <w:tcW w:type="dxa" w:w="1191"/>
            <w:shd w:val="clear" w:color="auto" w:fill="FAFBFD"/>
            <w:tcMar>
              <w:top w:w="45" w:type="dxa"/>
              <w:left w:w="70" w:type="dxa"/>
              <w:bottom w:w="45" w:type="dxa"/>
              <w:right w:w="70" w:type="dxa"/>
            </w:tcMar>
          </w:tcPr>
          <w:p>
            <w:pPr>
              <w:spacing w:after="0" w:before="0"/>
              <w:jc w:val="center"/>
            </w:pPr>
            <w:r>
              <w:rPr>
                <w:rFonts w:ascii="Consolas" w:hAnsi="Consolas" w:eastAsia="Consolas"/>
                <w:b/>
                <w:i w:val="0"/>
                <w:color w:val="1A1A2E"/>
                <w:sz w:val="18"/>
              </w:rPr>
              <w:t>0.7%</w:t>
            </w:r>
          </w:p>
        </w:tc>
        <w:tc>
          <w:tcPr>
            <w:tcW w:type="dxa" w:w="1417"/>
            <w:shd w:val="clear" w:color="auto" w:fill="FAFBFD"/>
            <w:tcMar>
              <w:top w:w="45" w:type="dxa"/>
              <w:left w:w="70" w:type="dxa"/>
              <w:bottom w:w="45" w:type="dxa"/>
              <w:right w:w="70" w:type="dxa"/>
            </w:tcMar>
          </w:tcPr>
          <w:p>
            <w:pPr>
              <w:spacing w:after="0" w:before="0"/>
              <w:jc w:val="right"/>
            </w:pPr>
            <w:r>
              <w:rPr>
                <w:rFonts w:ascii="Consolas" w:hAnsi="Consolas" w:eastAsia="Consolas"/>
                <w:b w:val="0"/>
                <w:i w:val="0"/>
                <w:color w:val="1A1A2E"/>
                <w:sz w:val="18"/>
              </w:rPr>
              <w:t>₹297.80</w:t>
            </w:r>
          </w:p>
        </w:tc>
        <w:tc>
          <w:tcPr>
            <w:tcW w:type="dxa" w:w="1020"/>
            <w:shd w:val="clear" w:color="auto" w:fill="FAFBFD"/>
            <w:tcMar>
              <w:top w:w="45" w:type="dxa"/>
              <w:left w:w="70" w:type="dxa"/>
              <w:bottom w:w="45" w:type="dxa"/>
              <w:right w:w="70" w:type="dxa"/>
            </w:tcMar>
          </w:tcPr>
          <w:p>
            <w:pPr>
              <w:spacing w:after="0" w:before="0"/>
              <w:jc w:val="right"/>
            </w:pPr>
            <w:r>
              <w:rPr>
                <w:rFonts w:ascii="Consolas" w:hAnsi="Consolas" w:eastAsia="Consolas"/>
                <w:b w:val="0"/>
                <w:i w:val="0"/>
                <w:color w:val="16C784"/>
                <w:sz w:val="18"/>
              </w:rPr>
              <w:t>+0.56%</w:t>
            </w:r>
          </w:p>
        </w:tc>
      </w:tr>
      <w:tr>
        <w:tc>
          <w:tcPr>
            <w:tcW w:type="dxa" w:w="567"/>
            <w:tcMar>
              <w:top w:w="45" w:type="dxa"/>
              <w:left w:w="70" w:type="dxa"/>
              <w:bottom w:w="45" w:type="dxa"/>
              <w:right w:w="70" w:type="dxa"/>
            </w:tcMar>
          </w:tcPr>
          <w:p>
            <w:pPr>
              <w:spacing w:after="0" w:before="0"/>
              <w:jc w:val="center"/>
            </w:pPr>
            <w:r>
              <w:rPr>
                <w:rFonts w:ascii="Calibri" w:hAnsi="Calibri" w:eastAsia="Calibri"/>
                <w:b w:val="0"/>
                <w:i w:val="0"/>
                <w:color w:val="6B7A99"/>
                <w:sz w:val="16"/>
              </w:rPr>
              <w:t>25</w:t>
            </w:r>
          </w:p>
        </w:tc>
        <w:tc>
          <w:tcPr>
            <w:tcW w:type="dxa" w:w="2835"/>
            <w:tcMar>
              <w:top w:w="45" w:type="dxa"/>
              <w:left w:w="70" w:type="dxa"/>
              <w:bottom w:w="45" w:type="dxa"/>
              <w:right w:w="70" w:type="dxa"/>
            </w:tcMar>
          </w:tcPr>
          <w:p>
            <w:pPr>
              <w:spacing w:after="0" w:before="0"/>
            </w:pPr>
            <w:r>
              <w:rPr>
                <w:rFonts w:ascii="Calibri" w:hAnsi="Calibri" w:eastAsia="Calibri"/>
                <w:b/>
                <w:i w:val="0"/>
                <w:color w:val="0F2B54"/>
                <w:sz w:val="19"/>
              </w:rPr>
              <w:t>APARINDS</w:t>
            </w:r>
          </w:p>
        </w:tc>
        <w:tc>
          <w:tcPr>
            <w:tcW w:type="dxa" w:w="3402"/>
            <w:tcMar>
              <w:top w:w="45" w:type="dxa"/>
              <w:left w:w="70" w:type="dxa"/>
              <w:bottom w:w="45" w:type="dxa"/>
              <w:right w:w="70" w:type="dxa"/>
            </w:tcMar>
          </w:tcPr>
          <w:p>
            <w:pPr>
              <w:spacing w:after="0" w:before="0"/>
            </w:pPr>
            <w:r>
              <w:rPr>
                <w:rFonts w:ascii="Calibri" w:hAnsi="Calibri" w:eastAsia="Calibri"/>
                <w:b w:val="0"/>
                <w:i w:val="0"/>
                <w:color w:val="1A1A2E"/>
                <w:sz w:val="17"/>
              </w:rPr>
              <w:t>Capital Goods</w:t>
            </w:r>
          </w:p>
        </w:tc>
        <w:tc>
          <w:tcPr>
            <w:tcW w:type="dxa" w:w="1191"/>
            <w:tcMar>
              <w:top w:w="45" w:type="dxa"/>
              <w:left w:w="70" w:type="dxa"/>
              <w:bottom w:w="45" w:type="dxa"/>
              <w:right w:w="70" w:type="dxa"/>
            </w:tcMar>
          </w:tcPr>
          <w:p>
            <w:pPr>
              <w:spacing w:after="0" w:before="0"/>
              <w:jc w:val="center"/>
            </w:pPr>
            <w:r>
              <w:rPr>
                <w:rFonts w:ascii="Consolas" w:hAnsi="Consolas" w:eastAsia="Consolas"/>
                <w:b/>
                <w:i w:val="0"/>
                <w:color w:val="1A1A2E"/>
                <w:sz w:val="18"/>
              </w:rPr>
              <w:t>0.6%</w:t>
            </w:r>
          </w:p>
        </w:tc>
        <w:tc>
          <w:tcPr>
            <w:tcW w:type="dxa" w:w="1417"/>
            <w:tcMar>
              <w:top w:w="45" w:type="dxa"/>
              <w:left w:w="70" w:type="dxa"/>
              <w:bottom w:w="45" w:type="dxa"/>
              <w:right w:w="70" w:type="dxa"/>
            </w:tcMar>
          </w:tcPr>
          <w:p>
            <w:pPr>
              <w:spacing w:after="0" w:before="0"/>
              <w:jc w:val="right"/>
            </w:pPr>
            <w:r>
              <w:rPr>
                <w:rFonts w:ascii="Consolas" w:hAnsi="Consolas" w:eastAsia="Consolas"/>
                <w:b w:val="0"/>
                <w:i w:val="0"/>
                <w:color w:val="1A1A2E"/>
                <w:sz w:val="18"/>
              </w:rPr>
              <w:t>₹16,631.00</w:t>
            </w:r>
          </w:p>
        </w:tc>
        <w:tc>
          <w:tcPr>
            <w:tcW w:type="dxa" w:w="1020"/>
            <w:tcMar>
              <w:top w:w="45" w:type="dxa"/>
              <w:left w:w="70" w:type="dxa"/>
              <w:bottom w:w="45" w:type="dxa"/>
              <w:right w:w="70" w:type="dxa"/>
            </w:tcMar>
          </w:tcPr>
          <w:p>
            <w:pPr>
              <w:spacing w:after="0" w:before="0"/>
              <w:jc w:val="right"/>
            </w:pPr>
            <w:r>
              <w:rPr>
                <w:rFonts w:ascii="Consolas" w:hAnsi="Consolas" w:eastAsia="Consolas"/>
                <w:b w:val="0"/>
                <w:i w:val="0"/>
                <w:color w:val="16C784"/>
                <w:sz w:val="18"/>
              </w:rPr>
              <w:t>+3.13%</w:t>
            </w:r>
          </w:p>
        </w:tc>
      </w:tr>
      <w:tr>
        <w:tc>
          <w:tcPr>
            <w:tcW w:type="dxa" w:w="567"/>
            <w:shd w:val="clear" w:color="auto" w:fill="FAFBFD"/>
            <w:tcMar>
              <w:top w:w="45" w:type="dxa"/>
              <w:left w:w="70" w:type="dxa"/>
              <w:bottom w:w="45" w:type="dxa"/>
              <w:right w:w="70" w:type="dxa"/>
            </w:tcMar>
          </w:tcPr>
          <w:p>
            <w:pPr>
              <w:spacing w:after="0" w:before="0"/>
              <w:jc w:val="center"/>
            </w:pPr>
            <w:r>
              <w:rPr>
                <w:rFonts w:ascii="Calibri" w:hAnsi="Calibri" w:eastAsia="Calibri"/>
                <w:b w:val="0"/>
                <w:i w:val="0"/>
                <w:color w:val="6B7A99"/>
                <w:sz w:val="16"/>
              </w:rPr>
              <w:t>26</w:t>
            </w:r>
          </w:p>
        </w:tc>
        <w:tc>
          <w:tcPr>
            <w:tcW w:type="dxa" w:w="2835"/>
            <w:shd w:val="clear" w:color="auto" w:fill="FAFBFD"/>
            <w:tcMar>
              <w:top w:w="45" w:type="dxa"/>
              <w:left w:w="70" w:type="dxa"/>
              <w:bottom w:w="45" w:type="dxa"/>
              <w:right w:w="70" w:type="dxa"/>
            </w:tcMar>
          </w:tcPr>
          <w:p>
            <w:pPr>
              <w:spacing w:after="0" w:before="0"/>
            </w:pPr>
            <w:r>
              <w:rPr>
                <w:rFonts w:ascii="Calibri" w:hAnsi="Calibri" w:eastAsia="Calibri"/>
                <w:b/>
                <w:i w:val="0"/>
                <w:color w:val="0F2B54"/>
                <w:sz w:val="19"/>
              </w:rPr>
              <w:t>BLUESTONE [NEW]</w:t>
            </w:r>
          </w:p>
        </w:tc>
        <w:tc>
          <w:tcPr>
            <w:tcW w:type="dxa" w:w="3402"/>
            <w:shd w:val="clear" w:color="auto" w:fill="FAFBFD"/>
            <w:tcMar>
              <w:top w:w="45" w:type="dxa"/>
              <w:left w:w="70" w:type="dxa"/>
              <w:bottom w:w="45" w:type="dxa"/>
              <w:right w:w="70" w:type="dxa"/>
            </w:tcMar>
          </w:tcPr>
          <w:p>
            <w:pPr>
              <w:spacing w:after="0" w:before="0"/>
            </w:pPr>
            <w:r>
              <w:rPr>
                <w:rFonts w:ascii="Calibri" w:hAnsi="Calibri" w:eastAsia="Calibri"/>
                <w:b w:val="0"/>
                <w:i w:val="0"/>
                <w:color w:val="1A1A2E"/>
                <w:sz w:val="17"/>
              </w:rPr>
              <w:t>Consumer Durables</w:t>
            </w:r>
          </w:p>
        </w:tc>
        <w:tc>
          <w:tcPr>
            <w:tcW w:type="dxa" w:w="1191"/>
            <w:shd w:val="clear" w:color="auto" w:fill="FAFBFD"/>
            <w:tcMar>
              <w:top w:w="45" w:type="dxa"/>
              <w:left w:w="70" w:type="dxa"/>
              <w:bottom w:w="45" w:type="dxa"/>
              <w:right w:w="70" w:type="dxa"/>
            </w:tcMar>
          </w:tcPr>
          <w:p>
            <w:pPr>
              <w:spacing w:after="0" w:before="0"/>
              <w:jc w:val="center"/>
            </w:pPr>
            <w:r>
              <w:rPr>
                <w:rFonts w:ascii="Consolas" w:hAnsi="Consolas" w:eastAsia="Consolas"/>
                <w:b/>
                <w:i w:val="0"/>
                <w:color w:val="1A1A2E"/>
                <w:sz w:val="18"/>
              </w:rPr>
              <w:t>0.6%</w:t>
            </w:r>
          </w:p>
        </w:tc>
        <w:tc>
          <w:tcPr>
            <w:tcW w:type="dxa" w:w="1417"/>
            <w:shd w:val="clear" w:color="auto" w:fill="FAFBFD"/>
            <w:tcMar>
              <w:top w:w="45" w:type="dxa"/>
              <w:left w:w="70" w:type="dxa"/>
              <w:bottom w:w="45" w:type="dxa"/>
              <w:right w:w="70" w:type="dxa"/>
            </w:tcMar>
          </w:tcPr>
          <w:p>
            <w:pPr>
              <w:spacing w:after="0" w:before="0"/>
              <w:jc w:val="right"/>
            </w:pPr>
            <w:r>
              <w:rPr>
                <w:rFonts w:ascii="Consolas" w:hAnsi="Consolas" w:eastAsia="Consolas"/>
                <w:b w:val="0"/>
                <w:i w:val="0"/>
                <w:color w:val="1A1A2E"/>
                <w:sz w:val="18"/>
              </w:rPr>
              <w:t>₹814.50</w:t>
            </w:r>
          </w:p>
        </w:tc>
        <w:tc>
          <w:tcPr>
            <w:tcW w:type="dxa" w:w="1020"/>
            <w:shd w:val="clear" w:color="auto" w:fill="FAFBFD"/>
            <w:tcMar>
              <w:top w:w="45" w:type="dxa"/>
              <w:left w:w="70" w:type="dxa"/>
              <w:bottom w:w="45" w:type="dxa"/>
              <w:right w:w="70" w:type="dxa"/>
            </w:tcMar>
          </w:tcPr>
          <w:p>
            <w:pPr>
              <w:spacing w:after="0" w:before="0"/>
              <w:jc w:val="right"/>
            </w:pPr>
            <w:r>
              <w:rPr>
                <w:rFonts w:ascii="Consolas" w:hAnsi="Consolas" w:eastAsia="Consolas"/>
                <w:b w:val="0"/>
                <w:i w:val="0"/>
                <w:color w:val="EA3943"/>
                <w:sz w:val="18"/>
              </w:rPr>
              <w:t>-1.20%</w:t>
            </w:r>
          </w:p>
        </w:tc>
      </w:tr>
      <w:tr>
        <w:tc>
          <w:tcPr>
            <w:tcW w:type="dxa" w:w="567"/>
            <w:tcMar>
              <w:top w:w="45" w:type="dxa"/>
              <w:left w:w="70" w:type="dxa"/>
              <w:bottom w:w="45" w:type="dxa"/>
              <w:right w:w="70" w:type="dxa"/>
            </w:tcMar>
          </w:tcPr>
          <w:p>
            <w:pPr>
              <w:spacing w:after="0" w:before="0"/>
              <w:jc w:val="center"/>
            </w:pPr>
            <w:r>
              <w:rPr>
                <w:rFonts w:ascii="Calibri" w:hAnsi="Calibri" w:eastAsia="Calibri"/>
                <w:b w:val="0"/>
                <w:i w:val="0"/>
                <w:color w:val="6B7A99"/>
                <w:sz w:val="16"/>
              </w:rPr>
              <w:t>27</w:t>
            </w:r>
          </w:p>
        </w:tc>
        <w:tc>
          <w:tcPr>
            <w:tcW w:type="dxa" w:w="2835"/>
            <w:tcMar>
              <w:top w:w="45" w:type="dxa"/>
              <w:left w:w="70" w:type="dxa"/>
              <w:bottom w:w="45" w:type="dxa"/>
              <w:right w:w="70" w:type="dxa"/>
            </w:tcMar>
          </w:tcPr>
          <w:p>
            <w:pPr>
              <w:spacing w:after="0" w:before="0"/>
            </w:pPr>
            <w:r>
              <w:rPr>
                <w:rFonts w:ascii="Calibri" w:hAnsi="Calibri" w:eastAsia="Calibri"/>
                <w:b/>
                <w:i w:val="0"/>
                <w:color w:val="0F2B54"/>
                <w:sz w:val="19"/>
              </w:rPr>
              <w:t>DIACABS</w:t>
            </w:r>
          </w:p>
        </w:tc>
        <w:tc>
          <w:tcPr>
            <w:tcW w:type="dxa" w:w="3402"/>
            <w:tcMar>
              <w:top w:w="45" w:type="dxa"/>
              <w:left w:w="70" w:type="dxa"/>
              <w:bottom w:w="45" w:type="dxa"/>
              <w:right w:w="70" w:type="dxa"/>
            </w:tcMar>
          </w:tcPr>
          <w:p>
            <w:pPr>
              <w:spacing w:after="0" w:before="0"/>
            </w:pPr>
            <w:r>
              <w:rPr>
                <w:rFonts w:ascii="Calibri" w:hAnsi="Calibri" w:eastAsia="Calibri"/>
                <w:b w:val="0"/>
                <w:i w:val="0"/>
                <w:color w:val="1A1A2E"/>
                <w:sz w:val="17"/>
              </w:rPr>
              <w:t>Capital Goods</w:t>
            </w:r>
          </w:p>
        </w:tc>
        <w:tc>
          <w:tcPr>
            <w:tcW w:type="dxa" w:w="1191"/>
            <w:tcMar>
              <w:top w:w="45" w:type="dxa"/>
              <w:left w:w="70" w:type="dxa"/>
              <w:bottom w:w="45" w:type="dxa"/>
              <w:right w:w="70" w:type="dxa"/>
            </w:tcMar>
          </w:tcPr>
          <w:p>
            <w:pPr>
              <w:spacing w:after="0" w:before="0"/>
              <w:jc w:val="center"/>
            </w:pPr>
            <w:r>
              <w:rPr>
                <w:rFonts w:ascii="Consolas" w:hAnsi="Consolas" w:eastAsia="Consolas"/>
                <w:b/>
                <w:i w:val="0"/>
                <w:color w:val="1A1A2E"/>
                <w:sz w:val="18"/>
              </w:rPr>
              <w:t>0.5%</w:t>
            </w:r>
          </w:p>
        </w:tc>
        <w:tc>
          <w:tcPr>
            <w:tcW w:type="dxa" w:w="1417"/>
            <w:tcMar>
              <w:top w:w="45" w:type="dxa"/>
              <w:left w:w="70" w:type="dxa"/>
              <w:bottom w:w="45" w:type="dxa"/>
              <w:right w:w="70" w:type="dxa"/>
            </w:tcMar>
          </w:tcPr>
          <w:p>
            <w:pPr>
              <w:spacing w:after="0" w:before="0"/>
              <w:jc w:val="right"/>
            </w:pPr>
            <w:r>
              <w:rPr>
                <w:rFonts w:ascii="Consolas" w:hAnsi="Consolas" w:eastAsia="Consolas"/>
                <w:b w:val="0"/>
                <w:i w:val="0"/>
                <w:color w:val="1A1A2E"/>
                <w:sz w:val="18"/>
              </w:rPr>
              <w:t>₹364.05</w:t>
            </w:r>
          </w:p>
        </w:tc>
        <w:tc>
          <w:tcPr>
            <w:tcW w:type="dxa" w:w="1020"/>
            <w:tcMar>
              <w:top w:w="45" w:type="dxa"/>
              <w:left w:w="70" w:type="dxa"/>
              <w:bottom w:w="45" w:type="dxa"/>
              <w:right w:w="70" w:type="dxa"/>
            </w:tcMar>
          </w:tcPr>
          <w:p>
            <w:pPr>
              <w:spacing w:after="0" w:before="0"/>
              <w:jc w:val="right"/>
            </w:pPr>
            <w:r>
              <w:rPr>
                <w:rFonts w:ascii="Consolas" w:hAnsi="Consolas" w:eastAsia="Consolas"/>
                <w:b w:val="0"/>
                <w:i w:val="0"/>
                <w:color w:val="16C784"/>
                <w:sz w:val="18"/>
              </w:rPr>
              <w:t>+4.37%</w:t>
            </w:r>
          </w:p>
        </w:tc>
      </w:tr>
      <w:tr>
        <w:tc>
          <w:tcPr>
            <w:tcW w:type="dxa" w:w="567"/>
            <w:shd w:val="clear" w:color="auto" w:fill="FAFBFD"/>
            <w:tcMar>
              <w:top w:w="45" w:type="dxa"/>
              <w:left w:w="70" w:type="dxa"/>
              <w:bottom w:w="45" w:type="dxa"/>
              <w:right w:w="70" w:type="dxa"/>
            </w:tcMar>
          </w:tcPr>
          <w:p>
            <w:pPr>
              <w:spacing w:after="0" w:before="0"/>
              <w:jc w:val="center"/>
            </w:pPr>
            <w:r>
              <w:rPr>
                <w:rFonts w:ascii="Calibri" w:hAnsi="Calibri" w:eastAsia="Calibri"/>
                <w:b w:val="0"/>
                <w:i w:val="0"/>
                <w:color w:val="6B7A99"/>
                <w:sz w:val="16"/>
              </w:rPr>
              <w:t>28</w:t>
            </w:r>
          </w:p>
        </w:tc>
        <w:tc>
          <w:tcPr>
            <w:tcW w:type="dxa" w:w="2835"/>
            <w:shd w:val="clear" w:color="auto" w:fill="FAFBFD"/>
            <w:tcMar>
              <w:top w:w="45" w:type="dxa"/>
              <w:left w:w="70" w:type="dxa"/>
              <w:bottom w:w="45" w:type="dxa"/>
              <w:right w:w="70" w:type="dxa"/>
            </w:tcMar>
          </w:tcPr>
          <w:p>
            <w:pPr>
              <w:spacing w:after="0" w:before="0"/>
            </w:pPr>
            <w:r>
              <w:rPr>
                <w:rFonts w:ascii="Calibri" w:hAnsi="Calibri" w:eastAsia="Calibri"/>
                <w:b/>
                <w:i w:val="0"/>
                <w:color w:val="0F2B54"/>
                <w:sz w:val="19"/>
              </w:rPr>
              <w:t>TI</w:t>
            </w:r>
          </w:p>
        </w:tc>
        <w:tc>
          <w:tcPr>
            <w:tcW w:type="dxa" w:w="3402"/>
            <w:shd w:val="clear" w:color="auto" w:fill="FAFBFD"/>
            <w:tcMar>
              <w:top w:w="45" w:type="dxa"/>
              <w:left w:w="70" w:type="dxa"/>
              <w:bottom w:w="45" w:type="dxa"/>
              <w:right w:w="70" w:type="dxa"/>
            </w:tcMar>
          </w:tcPr>
          <w:p>
            <w:pPr>
              <w:spacing w:after="0" w:before="0"/>
            </w:pPr>
            <w:r>
              <w:rPr>
                <w:rFonts w:ascii="Calibri" w:hAnsi="Calibri" w:eastAsia="Calibri"/>
                <w:b w:val="0"/>
                <w:i w:val="0"/>
                <w:color w:val="1A1A2E"/>
                <w:sz w:val="17"/>
              </w:rPr>
              <w:t>Fast Moving Consumer Goods</w:t>
            </w:r>
          </w:p>
        </w:tc>
        <w:tc>
          <w:tcPr>
            <w:tcW w:type="dxa" w:w="1191"/>
            <w:shd w:val="clear" w:color="auto" w:fill="FAFBFD"/>
            <w:tcMar>
              <w:top w:w="45" w:type="dxa"/>
              <w:left w:w="70" w:type="dxa"/>
              <w:bottom w:w="45" w:type="dxa"/>
              <w:right w:w="70" w:type="dxa"/>
            </w:tcMar>
          </w:tcPr>
          <w:p>
            <w:pPr>
              <w:spacing w:after="0" w:before="0"/>
              <w:jc w:val="center"/>
            </w:pPr>
            <w:r>
              <w:rPr>
                <w:rFonts w:ascii="Consolas" w:hAnsi="Consolas" w:eastAsia="Consolas"/>
                <w:b/>
                <w:i w:val="0"/>
                <w:color w:val="1A1A2E"/>
                <w:sz w:val="18"/>
              </w:rPr>
              <w:t>0.4%</w:t>
            </w:r>
          </w:p>
        </w:tc>
        <w:tc>
          <w:tcPr>
            <w:tcW w:type="dxa" w:w="1417"/>
            <w:shd w:val="clear" w:color="auto" w:fill="FAFBFD"/>
            <w:tcMar>
              <w:top w:w="45" w:type="dxa"/>
              <w:left w:w="70" w:type="dxa"/>
              <w:bottom w:w="45" w:type="dxa"/>
              <w:right w:w="70" w:type="dxa"/>
            </w:tcMar>
          </w:tcPr>
          <w:p>
            <w:pPr>
              <w:spacing w:after="0" w:before="0"/>
              <w:jc w:val="right"/>
            </w:pPr>
            <w:r>
              <w:rPr>
                <w:rFonts w:ascii="Consolas" w:hAnsi="Consolas" w:eastAsia="Consolas"/>
                <w:b w:val="0"/>
                <w:i w:val="0"/>
                <w:color w:val="1A1A2E"/>
                <w:sz w:val="18"/>
              </w:rPr>
              <w:t>₹490.75</w:t>
            </w:r>
          </w:p>
        </w:tc>
        <w:tc>
          <w:tcPr>
            <w:tcW w:type="dxa" w:w="1020"/>
            <w:shd w:val="clear" w:color="auto" w:fill="FAFBFD"/>
            <w:tcMar>
              <w:top w:w="45" w:type="dxa"/>
              <w:left w:w="70" w:type="dxa"/>
              <w:bottom w:w="45" w:type="dxa"/>
              <w:right w:w="70" w:type="dxa"/>
            </w:tcMar>
          </w:tcPr>
          <w:p>
            <w:pPr>
              <w:spacing w:after="0" w:before="0"/>
              <w:jc w:val="right"/>
            </w:pPr>
            <w:r>
              <w:rPr>
                <w:rFonts w:ascii="Consolas" w:hAnsi="Consolas" w:eastAsia="Consolas"/>
                <w:b w:val="0"/>
                <w:i w:val="0"/>
                <w:color w:val="16C784"/>
                <w:sz w:val="18"/>
              </w:rPr>
              <w:t>+0.47%</w:t>
            </w:r>
          </w:p>
        </w:tc>
      </w:tr>
      <w:tr>
        <w:tc>
          <w:tcPr>
            <w:tcW w:type="dxa" w:w="567"/>
            <w:tcMar>
              <w:top w:w="45" w:type="dxa"/>
              <w:left w:w="70" w:type="dxa"/>
              <w:bottom w:w="45" w:type="dxa"/>
              <w:right w:w="70" w:type="dxa"/>
            </w:tcMar>
          </w:tcPr>
          <w:p>
            <w:pPr>
              <w:spacing w:after="0" w:before="0"/>
              <w:jc w:val="center"/>
            </w:pPr>
            <w:r>
              <w:rPr>
                <w:rFonts w:ascii="Calibri" w:hAnsi="Calibri" w:eastAsia="Calibri"/>
                <w:b w:val="0"/>
                <w:i w:val="0"/>
                <w:color w:val="6B7A99"/>
                <w:sz w:val="16"/>
              </w:rPr>
              <w:t>29</w:t>
            </w:r>
          </w:p>
        </w:tc>
        <w:tc>
          <w:tcPr>
            <w:tcW w:type="dxa" w:w="2835"/>
            <w:tcMar>
              <w:top w:w="45" w:type="dxa"/>
              <w:left w:w="70" w:type="dxa"/>
              <w:bottom w:w="45" w:type="dxa"/>
              <w:right w:w="70" w:type="dxa"/>
            </w:tcMar>
          </w:tcPr>
          <w:p>
            <w:pPr>
              <w:spacing w:after="0" w:before="0"/>
            </w:pPr>
            <w:r>
              <w:rPr>
                <w:rFonts w:ascii="Calibri" w:hAnsi="Calibri" w:eastAsia="Calibri"/>
                <w:b/>
                <w:i w:val="0"/>
                <w:color w:val="0F2B54"/>
                <w:sz w:val="19"/>
              </w:rPr>
              <w:t>HCG [NEW]</w:t>
            </w:r>
          </w:p>
        </w:tc>
        <w:tc>
          <w:tcPr>
            <w:tcW w:type="dxa" w:w="3402"/>
            <w:tcMar>
              <w:top w:w="45" w:type="dxa"/>
              <w:left w:w="70" w:type="dxa"/>
              <w:bottom w:w="45" w:type="dxa"/>
              <w:right w:w="70" w:type="dxa"/>
            </w:tcMar>
          </w:tcPr>
          <w:p>
            <w:pPr>
              <w:spacing w:after="0" w:before="0"/>
            </w:pPr>
            <w:r>
              <w:rPr>
                <w:rFonts w:ascii="Calibri" w:hAnsi="Calibri" w:eastAsia="Calibri"/>
                <w:b w:val="0"/>
                <w:i w:val="0"/>
                <w:color w:val="1A1A2E"/>
                <w:sz w:val="17"/>
              </w:rPr>
              <w:t>Healthcare</w:t>
            </w:r>
          </w:p>
        </w:tc>
        <w:tc>
          <w:tcPr>
            <w:tcW w:type="dxa" w:w="1191"/>
            <w:tcMar>
              <w:top w:w="45" w:type="dxa"/>
              <w:left w:w="70" w:type="dxa"/>
              <w:bottom w:w="45" w:type="dxa"/>
              <w:right w:w="70" w:type="dxa"/>
            </w:tcMar>
          </w:tcPr>
          <w:p>
            <w:pPr>
              <w:spacing w:after="0" w:before="0"/>
              <w:jc w:val="center"/>
            </w:pPr>
            <w:r>
              <w:rPr>
                <w:rFonts w:ascii="Consolas" w:hAnsi="Consolas" w:eastAsia="Consolas"/>
                <w:b/>
                <w:i w:val="0"/>
                <w:color w:val="1A1A2E"/>
                <w:sz w:val="18"/>
              </w:rPr>
              <w:t>0.1%</w:t>
            </w:r>
          </w:p>
        </w:tc>
        <w:tc>
          <w:tcPr>
            <w:tcW w:type="dxa" w:w="1417"/>
            <w:tcMar>
              <w:top w:w="45" w:type="dxa"/>
              <w:left w:w="70" w:type="dxa"/>
              <w:bottom w:w="45" w:type="dxa"/>
              <w:right w:w="70" w:type="dxa"/>
            </w:tcMar>
          </w:tcPr>
          <w:p>
            <w:pPr>
              <w:spacing w:after="0" w:before="0"/>
              <w:jc w:val="right"/>
            </w:pPr>
            <w:r>
              <w:rPr>
                <w:rFonts w:ascii="Consolas" w:hAnsi="Consolas" w:eastAsia="Consolas"/>
                <w:b w:val="0"/>
                <w:i w:val="0"/>
                <w:color w:val="1A1A2E"/>
                <w:sz w:val="18"/>
              </w:rPr>
              <w:t>₹675.85</w:t>
            </w:r>
          </w:p>
        </w:tc>
        <w:tc>
          <w:tcPr>
            <w:tcW w:type="dxa" w:w="1020"/>
            <w:tcMar>
              <w:top w:w="45" w:type="dxa"/>
              <w:left w:w="70" w:type="dxa"/>
              <w:bottom w:w="45" w:type="dxa"/>
              <w:right w:w="70" w:type="dxa"/>
            </w:tcMar>
          </w:tcPr>
          <w:p>
            <w:pPr>
              <w:spacing w:after="0" w:before="0"/>
              <w:jc w:val="right"/>
            </w:pPr>
            <w:r>
              <w:rPr>
                <w:rFonts w:ascii="Consolas" w:hAnsi="Consolas" w:eastAsia="Consolas"/>
                <w:b w:val="0"/>
                <w:i w:val="0"/>
                <w:color w:val="EA3943"/>
                <w:sz w:val="18"/>
              </w:rPr>
              <w:t>-0.39%</w:t>
            </w:r>
          </w:p>
        </w:tc>
      </w:tr>
      <w:tr>
        <w:tc>
          <w:tcPr>
            <w:tcW w:type="dxa" w:w="567"/>
            <w:shd w:val="clear" w:color="auto" w:fill="FAFBFD"/>
            <w:tcMar>
              <w:top w:w="45" w:type="dxa"/>
              <w:left w:w="70" w:type="dxa"/>
              <w:bottom w:w="45" w:type="dxa"/>
              <w:right w:w="70" w:type="dxa"/>
            </w:tcMar>
          </w:tcPr>
          <w:p>
            <w:pPr>
              <w:spacing w:after="0" w:before="0"/>
              <w:jc w:val="center"/>
            </w:pPr>
            <w:r>
              <w:rPr>
                <w:rFonts w:ascii="Calibri" w:hAnsi="Calibri" w:eastAsia="Calibri"/>
                <w:b w:val="0"/>
                <w:i w:val="0"/>
                <w:color w:val="6B7A99"/>
                <w:sz w:val="16"/>
              </w:rPr>
              <w:t>30</w:t>
            </w:r>
          </w:p>
        </w:tc>
        <w:tc>
          <w:tcPr>
            <w:tcW w:type="dxa" w:w="2835"/>
            <w:shd w:val="clear" w:color="auto" w:fill="FAFBFD"/>
            <w:tcMar>
              <w:top w:w="45" w:type="dxa"/>
              <w:left w:w="70" w:type="dxa"/>
              <w:bottom w:w="45" w:type="dxa"/>
              <w:right w:w="70" w:type="dxa"/>
            </w:tcMar>
          </w:tcPr>
          <w:p>
            <w:pPr>
              <w:spacing w:after="0" w:before="0"/>
            </w:pPr>
            <w:r>
              <w:rPr>
                <w:rFonts w:ascii="Calibri" w:hAnsi="Calibri" w:eastAsia="Calibri"/>
                <w:b/>
                <w:i w:val="0"/>
                <w:color w:val="0F2B54"/>
                <w:sz w:val="19"/>
              </w:rPr>
              <w:t>BSE</w:t>
            </w:r>
          </w:p>
        </w:tc>
        <w:tc>
          <w:tcPr>
            <w:tcW w:type="dxa" w:w="3402"/>
            <w:shd w:val="clear" w:color="auto" w:fill="FAFBFD"/>
            <w:tcMar>
              <w:top w:w="45" w:type="dxa"/>
              <w:left w:w="70" w:type="dxa"/>
              <w:bottom w:w="45" w:type="dxa"/>
              <w:right w:w="70" w:type="dxa"/>
            </w:tcMar>
          </w:tcPr>
          <w:p>
            <w:pPr>
              <w:spacing w:after="0" w:before="0"/>
            </w:pPr>
            <w:r>
              <w:rPr>
                <w:rFonts w:ascii="Calibri" w:hAnsi="Calibri" w:eastAsia="Calibri"/>
                <w:b w:val="0"/>
                <w:i w:val="0"/>
                <w:color w:val="1A1A2E"/>
                <w:sz w:val="17"/>
              </w:rPr>
              <w:t>Financial Services</w:t>
            </w:r>
          </w:p>
        </w:tc>
        <w:tc>
          <w:tcPr>
            <w:tcW w:type="dxa" w:w="1191"/>
            <w:shd w:val="clear" w:color="auto" w:fill="FAFBFD"/>
            <w:tcMar>
              <w:top w:w="45" w:type="dxa"/>
              <w:left w:w="70" w:type="dxa"/>
              <w:bottom w:w="45" w:type="dxa"/>
              <w:right w:w="70" w:type="dxa"/>
            </w:tcMar>
          </w:tcPr>
          <w:p>
            <w:pPr>
              <w:spacing w:after="0" w:before="0"/>
              <w:jc w:val="center"/>
            </w:pPr>
            <w:r>
              <w:rPr>
                <w:rFonts w:ascii="Consolas" w:hAnsi="Consolas" w:eastAsia="Consolas"/>
                <w:b/>
                <w:i w:val="0"/>
                <w:color w:val="1A1A2E"/>
                <w:sz w:val="18"/>
              </w:rPr>
              <w:t>0.1%</w:t>
            </w:r>
          </w:p>
        </w:tc>
        <w:tc>
          <w:tcPr>
            <w:tcW w:type="dxa" w:w="1417"/>
            <w:shd w:val="clear" w:color="auto" w:fill="FAFBFD"/>
            <w:tcMar>
              <w:top w:w="45" w:type="dxa"/>
              <w:left w:w="70" w:type="dxa"/>
              <w:bottom w:w="45" w:type="dxa"/>
              <w:right w:w="70" w:type="dxa"/>
            </w:tcMar>
          </w:tcPr>
          <w:p>
            <w:pPr>
              <w:spacing w:after="0" w:before="0"/>
              <w:jc w:val="right"/>
            </w:pPr>
            <w:r>
              <w:rPr>
                <w:rFonts w:ascii="Consolas" w:hAnsi="Consolas" w:eastAsia="Consolas"/>
                <w:b w:val="0"/>
                <w:i w:val="0"/>
                <w:color w:val="1A1A2E"/>
                <w:sz w:val="18"/>
              </w:rPr>
              <w:t>₹3,457.10</w:t>
            </w:r>
          </w:p>
        </w:tc>
        <w:tc>
          <w:tcPr>
            <w:tcW w:type="dxa" w:w="1020"/>
            <w:shd w:val="clear" w:color="auto" w:fill="FAFBFD"/>
            <w:tcMar>
              <w:top w:w="45" w:type="dxa"/>
              <w:left w:w="70" w:type="dxa"/>
              <w:bottom w:w="45" w:type="dxa"/>
              <w:right w:w="70" w:type="dxa"/>
            </w:tcMar>
          </w:tcPr>
          <w:p>
            <w:pPr>
              <w:spacing w:after="0" w:before="0"/>
              <w:jc w:val="right"/>
            </w:pPr>
            <w:r>
              <w:rPr>
                <w:rFonts w:ascii="Consolas" w:hAnsi="Consolas" w:eastAsia="Consolas"/>
                <w:b w:val="0"/>
                <w:i w:val="0"/>
                <w:color w:val="16C784"/>
                <w:sz w:val="18"/>
              </w:rPr>
              <w:t>+0.64%</w:t>
            </w:r>
          </w:p>
        </w:tc>
      </w:tr>
    </w:tbl>
    <w:p>
      <w:r>
        <w:br w:type="page"/>
      </w:r>
    </w:p>
    <w:p>
      <w:pPr>
        <w:pBdr>
          <w:bottom w:val="single" w:sz="6" w:space="2" w:color="DDE3EF"/>
        </w:pBdr>
        <w:spacing w:before="280" w:after="120"/>
      </w:pPr>
      <w:r>
        <w:rPr>
          <w:rFonts w:ascii="Calibri" w:hAnsi="Calibri"/>
          <w:b/>
          <w:caps/>
          <w:color w:val="0F2B54"/>
          <w:sz w:val="20"/>
        </w:rPr>
        <w:t>HOW IT WORKS</w:t>
      </w:r>
    </w:p>
    <w:tbl>
      <w:tblPr>
        <w:tblW w:type="auto" w:w="0"/>
        <w:jc w:val="center"/>
        <w:tblBorders>
          <w:top w:val="single" w:sz="4" w:color="DDE3EF" w:space="0"/>
          <w:left w:val="single" w:sz="4" w:color="DDE3EF" w:space="0"/>
          <w:bottom w:val="single" w:sz="4" w:color="DDE3EF" w:space="0"/>
          <w:right w:val="single" w:sz="4" w:color="DDE3EF" w:space="0"/>
          <w:insideH w:val="single" w:sz="4" w:color="DDE3EF" w:space="0"/>
          <w:insideV w:val="single" w:sz="4" w:color="DDE3EF" w:space="0"/>
        </w:tblBorders>
        <w:tblLayout w:type="fixed"/>
        <w:tblLook w:firstColumn="1" w:firstRow="1" w:lastColumn="0" w:lastRow="0" w:noHBand="0" w:noVBand="1" w:val="04A0"/>
      </w:tblPr>
      <w:tblGrid>
        <w:gridCol w:w="2691"/>
        <w:gridCol w:w="2691"/>
        <w:gridCol w:w="2691"/>
        <w:gridCol w:w="2691"/>
      </w:tblGrid>
      <w:tr>
        <w:tc>
          <w:tcPr>
            <w:tcW w:type="dxa" w:w="2608"/>
            <w:shd w:val="clear" w:color="auto" w:fill="F3F6FB"/>
            <w:tcMar>
              <w:top w:w="110" w:type="dxa"/>
              <w:left w:w="110" w:type="dxa"/>
              <w:bottom w:w="110" w:type="dxa"/>
              <w:right w:w="110" w:type="dxa"/>
            </w:tcMar>
          </w:tcPr>
          <w:p>
            <w:pPr>
              <w:spacing w:after="0" w:before="0"/>
              <w:jc w:val="center"/>
            </w:pPr>
            <w:r>
              <w:rPr>
                <w:rFonts w:ascii="Calibri" w:hAnsi="Calibri" w:eastAsia="Calibri"/>
                <w:b/>
                <w:i w:val="0"/>
                <w:color w:val="1565C0"/>
                <w:sz w:val="16"/>
              </w:rPr>
              <w:t>STEP 1</w:t>
            </w:r>
          </w:p>
          <w:p>
            <w:pPr>
              <w:spacing w:after="0" w:before="0"/>
              <w:jc w:val="center"/>
            </w:pPr>
            <w:r>
              <w:rPr>
                <w:rFonts w:ascii="Calibri" w:hAnsi="Calibri" w:eastAsia="Calibri"/>
                <w:b w:val="0"/>
                <w:i w:val="0"/>
                <w:color w:val="6B7A99"/>
                <w:sz w:val="18"/>
              </w:rPr>
              <w:t>SMC Research runs the proprietary quant model every month</w:t>
            </w:r>
          </w:p>
        </w:tc>
        <w:tc>
          <w:tcPr>
            <w:tcW w:type="dxa" w:w="2608"/>
            <w:shd w:val="clear" w:color="auto" w:fill="F3F6FB"/>
            <w:tcMar>
              <w:top w:w="110" w:type="dxa"/>
              <w:left w:w="110" w:type="dxa"/>
              <w:bottom w:w="110" w:type="dxa"/>
              <w:right w:w="110" w:type="dxa"/>
            </w:tcMar>
          </w:tcPr>
          <w:p>
            <w:pPr>
              <w:spacing w:after="0" w:before="0"/>
              <w:jc w:val="center"/>
            </w:pPr>
            <w:r>
              <w:rPr>
                <w:rFonts w:ascii="Calibri" w:hAnsi="Calibri" w:eastAsia="Calibri"/>
                <w:b/>
                <w:i w:val="0"/>
                <w:color w:val="1565C0"/>
                <w:sz w:val="16"/>
              </w:rPr>
              <w:t>STEP 2</w:t>
            </w:r>
          </w:p>
          <w:p>
            <w:pPr>
              <w:spacing w:after="0" w:before="0"/>
              <w:jc w:val="center"/>
            </w:pPr>
            <w:r>
              <w:rPr>
                <w:rFonts w:ascii="Calibri" w:hAnsi="Calibri" w:eastAsia="Calibri"/>
                <w:b w:val="0"/>
                <w:i w:val="0"/>
                <w:color w:val="6B7A99"/>
                <w:sz w:val="18"/>
              </w:rPr>
              <w:t>Updated portfolio with buy/sell actions published on the dashboard</w:t>
            </w:r>
          </w:p>
        </w:tc>
        <w:tc>
          <w:tcPr>
            <w:tcW w:type="dxa" w:w="2608"/>
            <w:shd w:val="clear" w:color="auto" w:fill="F3F6FB"/>
            <w:tcMar>
              <w:top w:w="110" w:type="dxa"/>
              <w:left w:w="110" w:type="dxa"/>
              <w:bottom w:w="110" w:type="dxa"/>
              <w:right w:w="110" w:type="dxa"/>
            </w:tcMar>
          </w:tcPr>
          <w:p>
            <w:pPr>
              <w:spacing w:after="0" w:before="0"/>
              <w:jc w:val="center"/>
            </w:pPr>
            <w:r>
              <w:rPr>
                <w:rFonts w:ascii="Calibri" w:hAnsi="Calibri" w:eastAsia="Calibri"/>
                <w:b/>
                <w:i w:val="0"/>
                <w:color w:val="1565C0"/>
                <w:sz w:val="16"/>
              </w:rPr>
              <w:t>STEP 3</w:t>
            </w:r>
          </w:p>
          <w:p>
            <w:pPr>
              <w:spacing w:after="0" w:before="0"/>
              <w:jc w:val="center"/>
            </w:pPr>
            <w:r>
              <w:rPr>
                <w:rFonts w:ascii="Calibri" w:hAnsi="Calibri" w:eastAsia="Calibri"/>
                <w:b w:val="0"/>
                <w:i w:val="0"/>
                <w:color w:val="6B7A99"/>
                <w:sz w:val="18"/>
              </w:rPr>
              <w:t>Execute the rebalance trades at the start of each month</w:t>
            </w:r>
          </w:p>
        </w:tc>
        <w:tc>
          <w:tcPr>
            <w:tcW w:type="dxa" w:w="2608"/>
            <w:shd w:val="clear" w:color="auto" w:fill="F3F6FB"/>
            <w:tcMar>
              <w:top w:w="110" w:type="dxa"/>
              <w:left w:w="110" w:type="dxa"/>
              <w:bottom w:w="110" w:type="dxa"/>
              <w:right w:w="110" w:type="dxa"/>
            </w:tcMar>
          </w:tcPr>
          <w:p>
            <w:pPr>
              <w:spacing w:after="0" w:before="0"/>
              <w:jc w:val="center"/>
            </w:pPr>
            <w:r>
              <w:rPr>
                <w:rFonts w:ascii="Calibri" w:hAnsi="Calibri" w:eastAsia="Calibri"/>
                <w:b/>
                <w:i w:val="0"/>
                <w:color w:val="1565C0"/>
                <w:sz w:val="16"/>
              </w:rPr>
              <w:t>STEP 4</w:t>
            </w:r>
          </w:p>
          <w:p>
            <w:pPr>
              <w:spacing w:after="0" w:before="0"/>
              <w:jc w:val="center"/>
            </w:pPr>
            <w:r>
              <w:rPr>
                <w:rFonts w:ascii="Calibri" w:hAnsi="Calibri" w:eastAsia="Calibri"/>
                <w:b w:val="0"/>
                <w:i w:val="0"/>
                <w:color w:val="6B7A99"/>
                <w:sz w:val="18"/>
              </w:rPr>
              <w:t>Hold for 3–5 years for best risk-adjusted returns</w:t>
            </w:r>
          </w:p>
        </w:tc>
      </w:tr>
    </w:tbl>
    <w:p>
      <w:pPr>
        <w:pBdr>
          <w:bottom w:val="single" w:sz="6" w:space="2" w:color="DDE3EF"/>
        </w:pBdr>
        <w:spacing w:before="280" w:after="120"/>
      </w:pPr>
      <w:r>
        <w:rPr>
          <w:rFonts w:ascii="Calibri" w:hAnsi="Calibri"/>
          <w:b/>
          <w:caps/>
          <w:color w:val="0F2B54"/>
          <w:sz w:val="20"/>
        </w:rPr>
        <w:t>KEY RISK FACTORS</w:t>
      </w:r>
    </w:p>
    <w:tbl>
      <w:tblPr>
        <w:tblW w:type="auto" w:w="0"/>
        <w:jc w:val="center"/>
        <w:tblBorders>
          <w:top w:val="single" w:sz="4" w:color="DDE3EF" w:space="0"/>
          <w:left w:val="single" w:sz="4" w:color="DDE3EF" w:space="0"/>
          <w:bottom w:val="single" w:sz="4" w:color="DDE3EF" w:space="0"/>
          <w:right w:val="single" w:sz="4" w:color="DDE3EF" w:space="0"/>
          <w:insideH w:val="single" w:sz="4" w:color="DDE3EF" w:space="0"/>
          <w:insideV w:val="single" w:sz="4" w:color="DDE3EF" w:space="0"/>
        </w:tblBorders>
        <w:tblLayout w:type="fixed"/>
        <w:tblLook w:firstColumn="1" w:firstRow="1" w:lastColumn="0" w:lastRow="0" w:noHBand="0" w:noVBand="1" w:val="04A0"/>
      </w:tblPr>
      <w:tblGrid>
        <w:gridCol w:w="5383"/>
        <w:gridCol w:w="5383"/>
      </w:tblGrid>
      <w:tr>
        <w:tc>
          <w:tcPr>
            <w:tcW w:type="dxa" w:w="5216"/>
            <w:shd w:val="clear" w:color="auto" w:fill="F3F6FB"/>
            <w:tcMar>
              <w:top w:w="110" w:type="dxa"/>
              <w:left w:w="180" w:type="dxa"/>
              <w:bottom w:w="110" w:type="dxa"/>
              <w:right w:w="180" w:type="dxa"/>
            </w:tcMar>
          </w:tcPr>
          <w:p>
            <w:pPr>
              <w:spacing w:after="0" w:before="0"/>
            </w:pPr>
            <w:r>
              <w:rPr>
                <w:rFonts w:ascii="Calibri" w:hAnsi="Calibri" w:eastAsia="Calibri"/>
                <w:b/>
                <w:i w:val="0"/>
                <w:color w:val="EA3943"/>
                <w:sz w:val="16"/>
              </w:rPr>
              <w:t>MARKET RISK</w:t>
            </w:r>
          </w:p>
          <w:p>
            <w:pPr>
              <w:spacing w:after="0" w:before="0"/>
            </w:pPr>
            <w:r>
              <w:rPr>
                <w:rFonts w:ascii="Calibri" w:hAnsi="Calibri" w:eastAsia="Calibri"/>
                <w:b w:val="0"/>
                <w:i w:val="0"/>
                <w:color w:val="6B7A99"/>
                <w:sz w:val="18"/>
              </w:rPr>
              <w:t>Equity prices can decline sharply due to macroeconomic, geopolitical or company-specific factors. The portfolio has seen a maximum drawdown of -23.48% over the backtest period.</w:t>
            </w:r>
          </w:p>
        </w:tc>
        <w:tc>
          <w:tcPr>
            <w:tcW w:type="dxa" w:w="5216"/>
            <w:shd w:val="clear" w:color="auto" w:fill="F3F6FB"/>
            <w:tcMar>
              <w:top w:w="110" w:type="dxa"/>
              <w:left w:w="180" w:type="dxa"/>
              <w:bottom w:w="110" w:type="dxa"/>
              <w:right w:w="180" w:type="dxa"/>
            </w:tcMar>
          </w:tcPr>
          <w:p>
            <w:pPr>
              <w:spacing w:after="0" w:before="0"/>
            </w:pPr>
            <w:r>
              <w:rPr>
                <w:rFonts w:ascii="Calibri" w:hAnsi="Calibri" w:eastAsia="Calibri"/>
                <w:b/>
                <w:i w:val="0"/>
                <w:color w:val="EA3943"/>
                <w:sz w:val="16"/>
              </w:rPr>
              <w:t>CONCENTRATION RISK</w:t>
            </w:r>
          </w:p>
          <w:p>
            <w:pPr>
              <w:spacing w:after="0" w:before="0"/>
            </w:pPr>
            <w:r>
              <w:rPr>
                <w:rFonts w:ascii="Calibri" w:hAnsi="Calibri" w:eastAsia="Calibri"/>
                <w:b w:val="0"/>
                <w:i w:val="0"/>
                <w:color w:val="6B7A99"/>
                <w:sz w:val="18"/>
              </w:rPr>
              <w:t>The portfolio holds 30 stocks, but is top-heavy — the largest positions are capped at 10% each and the top 10 holdings account for roughly 76% of the portfolio. Sector concentration may arise during certain market phases.</w:t>
            </w:r>
          </w:p>
        </w:tc>
      </w:tr>
      <w:tr>
        <w:tc>
          <w:tcPr>
            <w:tcW w:type="dxa" w:w="5216"/>
            <w:shd w:val="clear" w:color="auto" w:fill="F3F6FB"/>
            <w:tcMar>
              <w:top w:w="110" w:type="dxa"/>
              <w:left w:w="180" w:type="dxa"/>
              <w:bottom w:w="110" w:type="dxa"/>
              <w:right w:w="180" w:type="dxa"/>
            </w:tcMar>
          </w:tcPr>
          <w:p>
            <w:pPr>
              <w:spacing w:after="0" w:before="0"/>
            </w:pPr>
            <w:r>
              <w:rPr>
                <w:rFonts w:ascii="Calibri" w:hAnsi="Calibri" w:eastAsia="Calibri"/>
                <w:b/>
                <w:i w:val="0"/>
                <w:color w:val="EA3943"/>
                <w:sz w:val="16"/>
              </w:rPr>
              <w:t>MODEL RISK</w:t>
            </w:r>
          </w:p>
          <w:p>
            <w:pPr>
              <w:spacing w:after="0" w:before="0"/>
            </w:pPr>
            <w:r>
              <w:rPr>
                <w:rFonts w:ascii="Calibri" w:hAnsi="Calibri" w:eastAsia="Calibri"/>
                <w:b w:val="0"/>
                <w:i w:val="0"/>
                <w:color w:val="6B7A99"/>
                <w:sz w:val="18"/>
              </w:rPr>
              <w:t>Past performance is not a guarantee of future results. Quantitative models may underperform during regime changes or unprecedented market events.</w:t>
            </w:r>
          </w:p>
        </w:tc>
        <w:tc>
          <w:tcPr>
            <w:tcW w:type="dxa" w:w="5216"/>
            <w:shd w:val="clear" w:color="auto" w:fill="F3F6FB"/>
            <w:tcMar>
              <w:top w:w="110" w:type="dxa"/>
              <w:left w:w="180" w:type="dxa"/>
              <w:bottom w:w="110" w:type="dxa"/>
              <w:right w:w="180" w:type="dxa"/>
            </w:tcMar>
          </w:tcPr>
          <w:p>
            <w:pPr>
              <w:spacing w:after="0" w:before="0"/>
            </w:pPr>
            <w:r>
              <w:rPr>
                <w:rFonts w:ascii="Calibri" w:hAnsi="Calibri" w:eastAsia="Calibri"/>
                <w:b/>
                <w:i w:val="0"/>
                <w:color w:val="EA3943"/>
                <w:sz w:val="16"/>
              </w:rPr>
              <w:t>LIQUIDITY RISK</w:t>
            </w:r>
          </w:p>
          <w:p>
            <w:pPr>
              <w:spacing w:after="0" w:before="0"/>
            </w:pPr>
            <w:r>
              <w:rPr>
                <w:rFonts w:ascii="Calibri" w:hAnsi="Calibri" w:eastAsia="Calibri"/>
                <w:b w:val="0"/>
                <w:i w:val="0"/>
                <w:color w:val="6B7A99"/>
                <w:sz w:val="18"/>
              </w:rPr>
              <w:t>All constituents are NSE-listed. As the universe spans mid and small cap companies alongside large caps, some holdings may trade with lower volumes, and liquidity can be temporarily limited during extreme market stress.</w:t>
            </w:r>
          </w:p>
        </w:tc>
      </w:tr>
    </w:tbl>
    <w:p>
      <w:pPr>
        <w:pBdr>
          <w:bottom w:val="single" w:sz="6" w:space="2" w:color="DDE3EF"/>
        </w:pBdr>
        <w:spacing w:before="280" w:after="120"/>
      </w:pPr>
      <w:r>
        <w:rPr>
          <w:rFonts w:ascii="Calibri" w:hAnsi="Calibri"/>
          <w:b/>
          <w:caps/>
          <w:color w:val="0F2B54"/>
          <w:sz w:val="20"/>
        </w:rPr>
        <w:t>DEFINITIONS AND DISCLOSURES</w:t>
      </w:r>
    </w:p>
    <w:p>
      <w:pPr>
        <w:spacing w:after="100"/>
      </w:pPr>
      <w:r>
        <w:rPr>
          <w:rFonts w:ascii="Calibri" w:hAnsi="Calibri"/>
          <w:b/>
          <w:color w:val="0F2B54"/>
          <w:sz w:val="18"/>
        </w:rPr>
        <w:t xml:space="preserve">CAGR — </w:t>
      </w:r>
      <w:r>
        <w:rPr>
          <w:rFonts w:ascii="Calibri" w:hAnsi="Calibri"/>
          <w:color w:val="1A1A2E"/>
          <w:sz w:val="18"/>
        </w:rPr>
        <w:t>Compound Annual Growth Rate is a measure of the growth of a portfolio. Returns generated each year differ; CAGR expresses them as the single annual rate that would produce the same terminal value over the period. For example, a portfolio returning 5%, 15% and −7% over three years has a CAGR of 3.94%. In this factsheet CAGR is computed on backtested model data from January 2020 onwards.</w:t>
      </w:r>
    </w:p>
    <w:p>
      <w:pPr>
        <w:spacing w:after="100"/>
      </w:pPr>
      <w:r>
        <w:rPr>
          <w:rFonts w:ascii="Calibri" w:hAnsi="Calibri"/>
          <w:b/>
          <w:color w:val="0F2B54"/>
          <w:sz w:val="18"/>
        </w:rPr>
        <w:t xml:space="preserve">Volatility Label — </w:t>
      </w:r>
      <w:r>
        <w:rPr>
          <w:rFonts w:ascii="Calibri" w:hAnsi="Calibri"/>
          <w:color w:val="1A1A2E"/>
          <w:sz w:val="18"/>
        </w:rPr>
        <w:t>Daily changes in stock prices cause fluctuation in the value of your investment. Each portfolio is categorised into one of three buckets — High, Medium or Low Volatility — by comparing the portfolio’s volatility against that of the Nifty 100 Index. This portfolio’s annualised volatility is 24.05%, placing it in the High Volatility bucket. High Volatility means changes in your investment value can be sudden and significant.</w:t>
      </w:r>
    </w:p>
    <w:p>
      <w:pPr>
        <w:spacing w:after="100"/>
      </w:pPr>
      <w:r>
        <w:rPr>
          <w:rFonts w:ascii="Calibri" w:hAnsi="Calibri"/>
          <w:b/>
          <w:color w:val="0F2B54"/>
          <w:sz w:val="18"/>
        </w:rPr>
        <w:t xml:space="preserve">Investment Horizon — </w:t>
      </w:r>
      <w:r>
        <w:rPr>
          <w:rFonts w:ascii="Calibri" w:hAnsi="Calibri"/>
          <w:color w:val="1A1A2E"/>
          <w:sz w:val="18"/>
        </w:rPr>
        <w:t>The manager’s recommended holding duration. Short Term: &lt;1 year. Medium Term: 1–3 years. Long Term: &gt;3 years. This portfolio is recommended as Long Term.</w:t>
      </w:r>
    </w:p>
    <w:p>
      <w:pPr>
        <w:spacing w:after="100"/>
      </w:pPr>
      <w:r>
        <w:rPr>
          <w:rFonts w:ascii="Calibri" w:hAnsi="Calibri"/>
          <w:b/>
          <w:color w:val="0F2B54"/>
          <w:sz w:val="18"/>
        </w:rPr>
        <w:t xml:space="preserve">Asset Class — </w:t>
      </w:r>
      <w:r>
        <w:rPr>
          <w:rFonts w:ascii="Calibri" w:hAnsi="Calibri"/>
          <w:color w:val="1A1A2E"/>
          <w:sz w:val="18"/>
        </w:rPr>
        <w:t>Constituents are selected from a universe defined by the manager, and that universe is labelled the Asset Class. All NSE-listed stocks are ranked in decreasing order of market capitalisation: ranks 1–100 are Large Cap, 101–250 are Mid Cap, and above 250 are Small Cap. This portfolio is Equity Multi Cap, meaning constituents may be drawn from more than two of the Large, Mid and Small Cap categories.</w:t>
      </w:r>
    </w:p>
    <w:p>
      <w:pPr>
        <w:spacing w:after="100"/>
      </w:pPr>
      <w:r>
        <w:rPr>
          <w:rFonts w:ascii="Calibri" w:hAnsi="Calibri"/>
          <w:b/>
          <w:color w:val="0F2B54"/>
          <w:sz w:val="18"/>
        </w:rPr>
        <w:t xml:space="preserve">Rebalance — </w:t>
      </w:r>
      <w:r>
        <w:rPr>
          <w:rFonts w:ascii="Calibri" w:hAnsi="Calibri"/>
          <w:color w:val="1A1A2E"/>
          <w:sz w:val="18"/>
        </w:rPr>
        <w:t>The process of periodically reviewing and updating the constituents of a portfolio, so that the holdings continue to reflect the underlying strategy. This portfolio is rebalanced monthly, on the first trading day of each month.</w:t>
      </w:r>
    </w:p>
    <w:p>
      <w:pPr>
        <w:spacing w:after="100"/>
      </w:pPr>
      <w:r>
        <w:rPr>
          <w:rFonts w:ascii="Calibri" w:hAnsi="Calibri"/>
          <w:b/>
          <w:color w:val="0F2B54"/>
          <w:sz w:val="18"/>
        </w:rPr>
        <w:t xml:space="preserve">Holdings Distribution — </w:t>
      </w:r>
      <w:r>
        <w:rPr>
          <w:rFonts w:ascii="Calibri" w:hAnsi="Calibri"/>
          <w:color w:val="1A1A2E"/>
          <w:sz w:val="18"/>
        </w:rPr>
        <w:t>Constituents are grouped into segments, and the weight of a segment is the sum of the weights of all constituents in it. For example, if four constituents of 10% each are Large Cap, the Large Cap segment weight is 40%.</w:t>
      </w:r>
    </w:p>
    <w:p>
      <w:pPr>
        <w:spacing w:after="100"/>
      </w:pPr>
      <w:r>
        <w:rPr>
          <w:rFonts w:ascii="Calibri" w:hAnsi="Calibri"/>
          <w:b/>
          <w:color w:val="0F2B54"/>
          <w:sz w:val="18"/>
        </w:rPr>
        <w:t xml:space="preserve">Benchmark — </w:t>
      </w:r>
      <w:r>
        <w:rPr>
          <w:rFonts w:ascii="Calibri" w:hAnsi="Calibri"/>
          <w:color w:val="1A1A2E"/>
          <w:sz w:val="18"/>
        </w:rPr>
        <w:t>Portfolio performance in this factsheet is compared against the Nifty 500 (CAGR 13.79% over the same period), which is the index CASE Platforms designates for the Equity Multi Cap asset class and is therefore the appropriate comparison for this portfolio. The Nifty 50 (CAGR 10.94%) is shown alongside as a secondary broad-market reference only. Alpha is stated against the Nifty 500.</w:t>
      </w:r>
    </w:p>
    <w:tbl>
      <w:tblPr>
        <w:tblW w:type="auto" w:w="0"/>
        <w:jc w:val="center"/>
        <w:tblBorders>
          <w:top w:val="none" w:sz="0" w:space="0"/>
          <w:left w:val="none" w:sz="0" w:space="0"/>
          <w:bottom w:val="none" w:sz="0" w:space="0"/>
          <w:right w:val="none" w:sz="0" w:space="0"/>
          <w:insideH w:val="none" w:sz="0" w:space="0"/>
          <w:insideV w:val="none" w:sz="0" w:space="0"/>
        </w:tblBorders>
        <w:tblLayout w:type="fixed"/>
        <w:tblLook w:firstColumn="1" w:firstRow="1" w:lastColumn="0" w:lastRow="0" w:noHBand="0" w:noVBand="1" w:val="04A0"/>
      </w:tblPr>
      <w:tblGrid>
        <w:gridCol w:w="5383"/>
        <w:gridCol w:w="5383"/>
      </w:tblGrid>
      <w:tr>
        <w:tc>
          <w:tcPr>
            <w:tcW w:type="dxa" w:w="5216"/>
            <w:tcMar>
              <w:top w:w="30" w:type="dxa"/>
              <w:left w:w="0" w:type="dxa"/>
              <w:bottom w:w="30" w:type="dxa"/>
              <w:right w:w="120" w:type="dxa"/>
            </w:tcMar>
          </w:tcPr>
          <w:p>
            <w:pPr>
              <w:spacing w:after="0"/>
            </w:pPr>
            <w:r>
              <w:rPr>
                <w:rFonts w:ascii="Calibri" w:hAnsi="Calibri"/>
                <w:b/>
                <w:color w:val="1A1A2E"/>
                <w:sz w:val="18"/>
              </w:rPr>
              <w:t>CAGR:</w:t>
            </w:r>
            <w:r>
              <w:rPr>
                <w:rFonts w:ascii="Calibri" w:hAnsi="Calibri"/>
                <w:color w:val="1A1A2E"/>
                <w:sz w:val="18"/>
              </w:rPr>
              <w:t xml:space="preserve"> Compound Annual Growth Rate — annualised return over the full period.</w:t>
            </w:r>
          </w:p>
        </w:tc>
        <w:tc>
          <w:tcPr>
            <w:tcW w:type="dxa" w:w="5216"/>
            <w:tcMar>
              <w:top w:w="30" w:type="dxa"/>
              <w:left w:w="0" w:type="dxa"/>
              <w:bottom w:w="30" w:type="dxa"/>
              <w:right w:w="120" w:type="dxa"/>
            </w:tcMar>
          </w:tcPr>
          <w:p>
            <w:pPr>
              <w:spacing w:after="0"/>
            </w:pPr>
            <w:r>
              <w:rPr>
                <w:rFonts w:ascii="Calibri" w:hAnsi="Calibri"/>
                <w:b/>
                <w:color w:val="1A1A2E"/>
                <w:sz w:val="18"/>
              </w:rPr>
              <w:t>Sharpe Ratio:</w:t>
            </w:r>
            <w:r>
              <w:rPr>
                <w:rFonts w:ascii="Calibri" w:hAnsi="Calibri"/>
                <w:color w:val="1A1A2E"/>
                <w:sz w:val="18"/>
              </w:rPr>
              <w:t xml:space="preserve"> Risk-adjusted return per unit of total volatility.</w:t>
            </w:r>
          </w:p>
        </w:tc>
      </w:tr>
      <w:tr>
        <w:tc>
          <w:tcPr>
            <w:tcW w:type="dxa" w:w="5216"/>
            <w:tcMar>
              <w:top w:w="30" w:type="dxa"/>
              <w:left w:w="0" w:type="dxa"/>
              <w:bottom w:w="30" w:type="dxa"/>
              <w:right w:w="120" w:type="dxa"/>
            </w:tcMar>
          </w:tcPr>
          <w:p>
            <w:pPr>
              <w:spacing w:after="0"/>
            </w:pPr>
            <w:r>
              <w:rPr>
                <w:rFonts w:ascii="Calibri" w:hAnsi="Calibri"/>
                <w:b/>
                <w:color w:val="1A1A2E"/>
                <w:sz w:val="18"/>
              </w:rPr>
              <w:t>Sortino Ratio:</w:t>
            </w:r>
            <w:r>
              <w:rPr>
                <w:rFonts w:ascii="Calibri" w:hAnsi="Calibri"/>
                <w:color w:val="1A1A2E"/>
                <w:sz w:val="18"/>
              </w:rPr>
              <w:t xml:space="preserve"> Risk-adjusted return penalising only downside deviation.</w:t>
            </w:r>
          </w:p>
        </w:tc>
        <w:tc>
          <w:tcPr>
            <w:tcW w:type="dxa" w:w="5216"/>
            <w:tcMar>
              <w:top w:w="30" w:type="dxa"/>
              <w:left w:w="0" w:type="dxa"/>
              <w:bottom w:w="30" w:type="dxa"/>
              <w:right w:w="120" w:type="dxa"/>
            </w:tcMar>
          </w:tcPr>
          <w:p>
            <w:pPr>
              <w:spacing w:after="0"/>
            </w:pPr>
            <w:r>
              <w:rPr>
                <w:rFonts w:ascii="Calibri" w:hAnsi="Calibri"/>
                <w:b/>
                <w:color w:val="1A1A2E"/>
                <w:sz w:val="18"/>
              </w:rPr>
              <w:t>Calmar Ratio:</w:t>
            </w:r>
            <w:r>
              <w:rPr>
                <w:rFonts w:ascii="Calibri" w:hAnsi="Calibri"/>
                <w:color w:val="1A1A2E"/>
                <w:sz w:val="18"/>
              </w:rPr>
              <w:t xml:space="preserve"> CAGR divided by maximum drawdown.</w:t>
            </w:r>
          </w:p>
        </w:tc>
      </w:tr>
      <w:tr>
        <w:tc>
          <w:tcPr>
            <w:tcW w:type="dxa" w:w="5216"/>
            <w:tcMar>
              <w:top w:w="30" w:type="dxa"/>
              <w:left w:w="0" w:type="dxa"/>
              <w:bottom w:w="30" w:type="dxa"/>
              <w:right w:w="120" w:type="dxa"/>
            </w:tcMar>
          </w:tcPr>
          <w:p>
            <w:pPr>
              <w:spacing w:after="0"/>
            </w:pPr>
            <w:r>
              <w:rPr>
                <w:rFonts w:ascii="Calibri" w:hAnsi="Calibri"/>
                <w:b/>
                <w:color w:val="1A1A2E"/>
                <w:sz w:val="18"/>
              </w:rPr>
              <w:t>Max Drawdown:</w:t>
            </w:r>
            <w:r>
              <w:rPr>
                <w:rFonts w:ascii="Calibri" w:hAnsi="Calibri"/>
                <w:color w:val="1A1A2E"/>
                <w:sz w:val="18"/>
              </w:rPr>
              <w:t xml:space="preserve"> Largest peak-to-trough decline during the period.</w:t>
            </w:r>
          </w:p>
        </w:tc>
        <w:tc>
          <w:tcPr>
            <w:tcW w:type="dxa" w:w="5216"/>
            <w:tcMar>
              <w:top w:w="30" w:type="dxa"/>
              <w:left w:w="0" w:type="dxa"/>
              <w:bottom w:w="30" w:type="dxa"/>
              <w:right w:w="120" w:type="dxa"/>
            </w:tcMar>
          </w:tcPr>
          <w:p>
            <w:pPr>
              <w:spacing w:after="0"/>
            </w:pPr>
            <w:r>
              <w:rPr>
                <w:rFonts w:ascii="Calibri" w:hAnsi="Calibri"/>
                <w:b/>
                <w:color w:val="1A1A2E"/>
                <w:sz w:val="18"/>
              </w:rPr>
              <w:t>Win Rate:</w:t>
            </w:r>
            <w:r>
              <w:rPr>
                <w:rFonts w:ascii="Calibri" w:hAnsi="Calibri"/>
                <w:color w:val="1A1A2E"/>
                <w:sz w:val="18"/>
              </w:rPr>
              <w:t xml:space="preserve"> Percentage of months with positive returns.</w:t>
            </w:r>
          </w:p>
        </w:tc>
      </w:tr>
      <w:tr>
        <w:tc>
          <w:tcPr>
            <w:tcW w:type="dxa" w:w="5216"/>
            <w:tcMar>
              <w:top w:w="30" w:type="dxa"/>
              <w:left w:w="0" w:type="dxa"/>
              <w:bottom w:w="30" w:type="dxa"/>
              <w:right w:w="120" w:type="dxa"/>
            </w:tcMar>
          </w:tcPr>
          <w:p>
            <w:pPr>
              <w:spacing w:after="0"/>
            </w:pPr>
            <w:r>
              <w:rPr>
                <w:rFonts w:ascii="Calibri" w:hAnsi="Calibri"/>
                <w:b/>
                <w:color w:val="1A1A2E"/>
                <w:sz w:val="18"/>
              </w:rPr>
              <w:t>Alpha:</w:t>
            </w:r>
            <w:r>
              <w:rPr>
                <w:rFonts w:ascii="Calibri" w:hAnsi="Calibri"/>
                <w:color w:val="1A1A2E"/>
                <w:sz w:val="18"/>
              </w:rPr>
              <w:t xml:space="preserve"> Portfolio CAGR minus Nifty 500 benchmark CAGR.</w:t>
            </w:r>
          </w:p>
        </w:tc>
        <w:tc>
          <w:tcPr>
            <w:tcW w:type="dxa" w:w="5216"/>
            <w:tcMar>
              <w:top w:w="30" w:type="dxa"/>
              <w:left w:w="0" w:type="dxa"/>
              <w:bottom w:w="30" w:type="dxa"/>
              <w:right w:w="120" w:type="dxa"/>
            </w:tcMar>
          </w:tcPr>
          <w:p>
            <w:pPr>
              <w:spacing w:after="0"/>
            </w:pPr>
            <w:r>
              <w:rPr>
                <w:rFonts w:ascii="Calibri" w:hAnsi="Calibri"/>
                <w:b/>
                <w:color w:val="1A1A2E"/>
                <w:sz w:val="18"/>
              </w:rPr>
              <w:t>VaR (95%):</w:t>
            </w:r>
            <w:r>
              <w:rPr>
                <w:rFonts w:ascii="Calibri" w:hAnsi="Calibri"/>
                <w:color w:val="1A1A2E"/>
                <w:sz w:val="18"/>
              </w:rPr>
              <w:t xml:space="preserve"> Worst expected monthly loss at 95% confidence.</w:t>
            </w:r>
          </w:p>
        </w:tc>
      </w:tr>
    </w:tbl>
    <w:p>
      <w:pPr>
        <w:pBdr>
          <w:bottom w:val="single" w:sz="6" w:space="2" w:color="DDE3EF"/>
        </w:pBdr>
        <w:spacing w:before="280" w:after="120"/>
      </w:pPr>
      <w:r>
        <w:rPr>
          <w:rFonts w:ascii="Calibri" w:hAnsi="Calibri"/>
          <w:b/>
          <w:caps/>
          <w:color w:val="0F2B54"/>
          <w:sz w:val="20"/>
        </w:rPr>
        <w:t>GENERAL INVESTMENT DISCLOSURE</w:t>
      </w:r>
    </w:p>
    <w:tbl>
      <w:tblPr>
        <w:tblW w:type="auto" w:w="0"/>
        <w:jc w:val="center"/>
        <w:tblBorders>
          <w:top w:val="single" w:sz="4" w:color="DDE3EF" w:space="0"/>
          <w:left w:val="single" w:sz="4" w:color="DDE3EF" w:space="0"/>
          <w:bottom w:val="single" w:sz="4" w:color="DDE3EF" w:space="0"/>
          <w:right w:val="single" w:sz="4" w:color="DDE3EF" w:space="0"/>
          <w:insideH w:val="single" w:sz="4" w:color="DDE3EF" w:space="0"/>
          <w:insideV w:val="single" w:sz="4" w:color="DDE3EF" w:space="0"/>
        </w:tblBorders>
        <w:tblLayout w:type="fixed"/>
        <w:tblLook w:firstColumn="1" w:firstRow="1" w:lastColumn="0" w:lastRow="0" w:noHBand="0" w:noVBand="1" w:val="04A0"/>
      </w:tblPr>
      <w:tblGrid>
        <w:gridCol w:w="10766"/>
      </w:tblGrid>
      <w:tr>
        <w:tc>
          <w:tcPr>
            <w:tcW w:type="dxa" w:w="10431"/>
            <w:shd w:val="clear" w:color="auto" w:fill="F9FAFC"/>
            <w:tcMar>
              <w:top w:w="120" w:type="dxa"/>
              <w:left w:w="180" w:type="dxa"/>
              <w:bottom w:w="120" w:type="dxa"/>
              <w:right w:w="180" w:type="dxa"/>
            </w:tcMar>
          </w:tcPr>
          <w:p>
            <w:pPr>
              <w:spacing w:after="120" w:before="0"/>
            </w:pPr>
            <w:r>
              <w:rPr>
                <w:rFonts w:ascii="Segoe UI Symbol" w:hAnsi="Segoe UI Symbol"/>
                <w:b/>
                <w:color w:val="EA3943"/>
                <w:sz w:val="17"/>
              </w:rPr>
              <w:t xml:space="preserve">⚠ IMPORTANT: </w:t>
            </w:r>
            <w:r>
              <w:rPr>
                <w:rFonts w:ascii="Calibri" w:hAnsi="Calibri"/>
                <w:b w:val="0"/>
                <w:color w:val="6B7A99"/>
                <w:sz w:val="17"/>
              </w:rPr>
              <w:t xml:space="preserve">This factsheet is for </w:t>
            </w:r>
            <w:r>
              <w:rPr>
                <w:rFonts w:ascii="Calibri" w:hAnsi="Calibri"/>
                <w:b/>
                <w:color w:val="6B7A99"/>
                <w:sz w:val="17"/>
              </w:rPr>
              <w:t>informational purposes only</w:t>
            </w:r>
            <w:r>
              <w:rPr>
                <w:rFonts w:ascii="Calibri" w:hAnsi="Calibri"/>
                <w:b w:val="0"/>
                <w:color w:val="6B7A99"/>
                <w:sz w:val="17"/>
              </w:rPr>
              <w:t xml:space="preserve"> and does not constitute investment advice, solicitation, or a recommendation to buy or sell any securities. Past performance is not indicative of future results. Investments in the securities market are subject to market risks. Read all related documents carefully before investing.</w:t>
            </w:r>
          </w:p>
          <w:p>
            <w:pPr>
              <w:spacing w:after="120" w:before="0"/>
            </w:pPr>
            <w:r>
              <w:rPr>
                <w:rFonts w:ascii="Calibri" w:hAnsi="Calibri"/>
                <w:b w:val="0"/>
                <w:color w:val="6B7A99"/>
                <w:sz w:val="17"/>
              </w:rPr>
              <w:t xml:space="preserve">The performance data shown is based on a quantitative model simulation. Live performance may differ from model results due to transaction costs, taxes (STT, GST), impact cost, and execution timing. The portfolio is rebalanced monthly at month-open prices. </w:t>
            </w:r>
            <w:r>
              <w:rPr>
                <w:rFonts w:ascii="Calibri" w:hAnsi="Calibri"/>
                <w:b/>
                <w:color w:val="6B7A99"/>
                <w:sz w:val="17"/>
              </w:rPr>
              <w:t>All returns, CAGR and risk figures shown in this factsheet are derived from backtested model data covering January 2020 onwards, and do not represent the returns of an actual live-traded portfolio.</w:t>
            </w:r>
            <w:r>
              <w:rPr>
                <w:rFonts w:ascii="Calibri" w:hAnsi="Calibri"/>
                <w:b w:val="0"/>
                <w:color w:val="6B7A99"/>
                <w:sz w:val="17"/>
              </w:rPr>
              <w:t xml:space="preserve"> Backtested results are hypothetical, are computed with the benefit of hindsight, and have inherent limitations. They have not been validated by an independent chartered accountant, nor verified by the Past Risk and Return Verification Agency (PaRRVA) or any other agency recognised by SEBI.</w:t>
            </w:r>
          </w:p>
          <w:p>
            <w:pPr>
              <w:spacing w:after="120" w:before="0"/>
            </w:pPr>
            <w:r>
              <w:rPr>
                <w:rFonts w:ascii="Calibri" w:hAnsi="Calibri"/>
                <w:b w:val="0"/>
                <w:color w:val="6B7A99"/>
                <w:sz w:val="17"/>
              </w:rPr>
              <w:t>The volatility label (High/Medium/Low) is determined by comparing the portfolio’s daily volatility against the Nifty 100 Index. High Volatility means that changes in your investment value can be sudden and significant.</w:t>
            </w:r>
          </w:p>
        </w:tc>
      </w:tr>
    </w:tbl>
    <w:p>
      <w:pPr>
        <w:pBdr>
          <w:bottom w:val="single" w:sz="6" w:space="2" w:color="DDE3EF"/>
        </w:pBdr>
        <w:spacing w:before="280" w:after="120"/>
      </w:pPr>
      <w:r>
        <w:rPr>
          <w:rFonts w:ascii="Calibri" w:hAnsi="Calibri"/>
          <w:b/>
          <w:caps/>
          <w:color w:val="0F2B54"/>
          <w:sz w:val="20"/>
        </w:rPr>
        <w:t>RISK DISCLOSURE</w:t>
      </w:r>
    </w:p>
    <w:tbl>
      <w:tblPr>
        <w:tblW w:type="auto" w:w="0"/>
        <w:jc w:val="center"/>
        <w:tblBorders>
          <w:top w:val="single" w:sz="4" w:color="DDE3EF" w:space="0"/>
          <w:left w:val="single" w:sz="4" w:color="DDE3EF" w:space="0"/>
          <w:bottom w:val="single" w:sz="4" w:color="DDE3EF" w:space="0"/>
          <w:right w:val="single" w:sz="4" w:color="DDE3EF" w:space="0"/>
          <w:insideH w:val="single" w:sz="4" w:color="DDE3EF" w:space="0"/>
          <w:insideV w:val="single" w:sz="4" w:color="DDE3EF" w:space="0"/>
        </w:tblBorders>
        <w:tblLayout w:type="fixed"/>
        <w:tblLook w:firstColumn="1" w:firstRow="1" w:lastColumn="0" w:lastRow="0" w:noHBand="0" w:noVBand="1" w:val="04A0"/>
      </w:tblPr>
      <w:tblGrid>
        <w:gridCol w:w="10766"/>
      </w:tblGrid>
      <w:tr>
        <w:tc>
          <w:tcPr>
            <w:tcW w:type="dxa" w:w="10431"/>
            <w:shd w:val="clear" w:color="auto" w:fill="F9FAFC"/>
            <w:tcMar>
              <w:top w:w="120" w:type="dxa"/>
              <w:left w:w="180" w:type="dxa"/>
              <w:bottom w:w="120" w:type="dxa"/>
              <w:right w:w="180" w:type="dxa"/>
            </w:tcMar>
          </w:tcPr>
          <w:p>
            <w:pPr>
              <w:spacing w:after="120" w:before="0"/>
            </w:pPr>
            <w:r>
              <w:rPr>
                <w:rFonts w:ascii="Calibri" w:hAnsi="Calibri"/>
                <w:b w:val="0"/>
                <w:color w:val="6B7A99"/>
                <w:sz w:val="17"/>
              </w:rPr>
              <w:t>Investing in securities involves various types of risk that may impact your investment. Key risks affecting all asset classes include changes in: market volatility; general market conditions; trading volumes, liquidity and settlement periods; interest rates; the rate of inflation; domestic and global political, economic and financial developments; and policies, legal or regulatory frameworks set by government and other appropriate authorities.</w:t>
            </w:r>
          </w:p>
          <w:p>
            <w:pPr>
              <w:spacing w:after="120" w:before="0"/>
            </w:pPr>
            <w:r>
              <w:rPr>
                <w:rFonts w:ascii="Calibri" w:hAnsi="Calibri"/>
                <w:b/>
                <w:color w:val="6B7A99"/>
                <w:sz w:val="17"/>
              </w:rPr>
              <w:t>Risks relating to equity and equity-linked investments:</w:t>
            </w:r>
            <w:r>
              <w:rPr>
                <w:rFonts w:ascii="Calibri" w:hAnsi="Calibri"/>
                <w:b w:val="0"/>
                <w:color w:val="6B7A99"/>
                <w:sz w:val="17"/>
              </w:rPr>
              <w:t xml:space="preserve"> equity shares and equity-related instruments are volatile and prone to price fluctuation on a daily basis. Prices may be affected by trading volume volatility, currency exchange rates, company specific news and rumours, and other factors. </w:t>
            </w:r>
            <w:r>
              <w:rPr>
                <w:rFonts w:ascii="Calibri" w:hAnsi="Calibri"/>
                <w:b/>
                <w:color w:val="6B7A99"/>
                <w:sz w:val="17"/>
              </w:rPr>
              <w:t>Mid cap and small cap stocks generally exhibit higher volatility than large cap stocks.</w:t>
            </w:r>
            <w:r>
              <w:rPr>
                <w:rFonts w:ascii="Calibri" w:hAnsi="Calibri"/>
                <w:b w:val="0"/>
                <w:color w:val="6B7A99"/>
                <w:sz w:val="17"/>
              </w:rPr>
              <w:t xml:space="preserve"> As this is a Multi Cap portfolio that draws from the full NSE universe, a meaningful portion of the holdings may fall in the mid and small cap segments at any given time.</w:t>
            </w:r>
          </w:p>
          <w:p>
            <w:pPr>
              <w:spacing w:after="120" w:before="0"/>
            </w:pPr>
            <w:r>
              <w:rPr>
                <w:rFonts w:ascii="Calibri" w:hAnsi="Calibri"/>
                <w:b w:val="0"/>
                <w:color w:val="6B7A99"/>
                <w:sz w:val="17"/>
              </w:rPr>
              <w:t>In light of the risks involved, you should transact in securities only after understanding the associated risks. Please consider and assess all risk factors and your own risk tolerance before making investment decisions.</w:t>
            </w:r>
          </w:p>
        </w:tc>
      </w:tr>
    </w:tbl>
    <w:p>
      <w:pPr>
        <w:pBdr>
          <w:bottom w:val="single" w:sz="6" w:space="2" w:color="DDE3EF"/>
        </w:pBdr>
        <w:spacing w:before="280" w:after="120"/>
      </w:pPr>
      <w:r>
        <w:rPr>
          <w:rFonts w:ascii="Calibri" w:hAnsi="Calibri"/>
          <w:b/>
          <w:caps/>
          <w:color w:val="0F2B54"/>
          <w:sz w:val="20"/>
        </w:rPr>
        <w:t>MANAGER DISCLOSURE</w:t>
      </w:r>
    </w:p>
    <w:tbl>
      <w:tblPr>
        <w:tblW w:type="auto" w:w="0"/>
        <w:jc w:val="center"/>
        <w:tblBorders>
          <w:top w:val="single" w:sz="4" w:color="DDE3EF" w:space="0"/>
          <w:left w:val="single" w:sz="4" w:color="DDE3EF" w:space="0"/>
          <w:bottom w:val="single" w:sz="4" w:color="DDE3EF" w:space="0"/>
          <w:right w:val="single" w:sz="4" w:color="DDE3EF" w:space="0"/>
          <w:insideH w:val="single" w:sz="4" w:color="DDE3EF" w:space="0"/>
          <w:insideV w:val="single" w:sz="4" w:color="DDE3EF" w:space="0"/>
        </w:tblBorders>
        <w:tblLayout w:type="fixed"/>
        <w:tblLook w:firstColumn="1" w:firstRow="1" w:lastColumn="0" w:lastRow="0" w:noHBand="0" w:noVBand="1" w:val="04A0"/>
      </w:tblPr>
      <w:tblGrid>
        <w:gridCol w:w="10766"/>
      </w:tblGrid>
      <w:tr>
        <w:tc>
          <w:tcPr>
            <w:tcW w:type="dxa" w:w="10431"/>
            <w:shd w:val="clear" w:color="auto" w:fill="F9FAFC"/>
            <w:tcMar>
              <w:top w:w="120" w:type="dxa"/>
              <w:left w:w="180" w:type="dxa"/>
              <w:bottom w:w="120" w:type="dxa"/>
              <w:right w:w="180" w:type="dxa"/>
            </w:tcMar>
          </w:tcPr>
          <w:p>
            <w:pPr>
              <w:spacing w:after="120" w:before="0"/>
            </w:pPr>
            <w:r>
              <w:rPr>
                <w:rFonts w:ascii="Calibri" w:hAnsi="Calibri"/>
                <w:b/>
                <w:color w:val="6B7A99"/>
                <w:sz w:val="17"/>
              </w:rPr>
              <w:t>SMC Global Securities Ltd.</w:t>
            </w:r>
            <w:r>
              <w:rPr>
                <w:rFonts w:ascii="Calibri" w:hAnsi="Calibri"/>
                <w:b w:val="0"/>
                <w:color w:val="6B7A99"/>
                <w:sz w:val="17"/>
              </w:rPr>
              <w:t xml:space="preserve"> is registered with SEBI as a Research Analyst, with its registered office at 11/6B, Shanti Chamber, Pusa Road, New Delhi – 110005. Registration granted by SEBI and certification from NISM in no way guarantee performance of the intermediary or provide any assurance of returns to investors.</w:t>
            </w:r>
          </w:p>
          <w:p>
            <w:pPr>
              <w:spacing w:after="120" w:before="0"/>
            </w:pPr>
            <w:r>
              <w:rPr>
                <w:rFonts w:ascii="Calibri" w:hAnsi="Calibri"/>
                <w:b w:val="0"/>
                <w:color w:val="6B7A99"/>
                <w:sz w:val="17"/>
              </w:rPr>
              <w:t>The content and data available in this material, including index values, return numbers and rationale, are for information and illustration purposes only. Charts and performance numbers do not include the impact of transaction fees and other related costs. Past performance does not guarantee future returns and the performance of the portfolio is subject to market risk. Data used for the calculation of historical returns and other information is sourced from exchange-approved third party vendors and has neither been audited nor independently validated.</w:t>
            </w:r>
          </w:p>
          <w:p>
            <w:pPr>
              <w:spacing w:after="120" w:before="0"/>
            </w:pPr>
            <w:r>
              <w:rPr>
                <w:rFonts w:ascii="Calibri" w:hAnsi="Calibri"/>
                <w:b w:val="0"/>
                <w:color w:val="6B7A99"/>
                <w:sz w:val="17"/>
              </w:rPr>
              <w:t>Information presented in this material shall not be considered a recommendation or solicitation of an investment. Investors are responsible for their own investment decisions and for validating all information used to make those decisions.</w:t>
            </w:r>
          </w:p>
          <w:p>
            <w:pPr>
              <w:spacing w:after="120" w:before="0"/>
            </w:pPr>
            <w:r>
              <w:rPr>
                <w:rFonts w:ascii="Calibri" w:hAnsi="Calibri"/>
                <w:b w:val="0"/>
                <w:color w:val="6B7A99"/>
                <w:sz w:val="17"/>
              </w:rPr>
              <w:t>This document is solely for the personal information of the recipient and must not be used as the basis of any investment decision. Nothing in this document should be construed as investment or financial advice. The report and information contained herein may not be altered, reproduced, or redistributed without prior written consent.</w:t>
            </w:r>
          </w:p>
        </w:tc>
      </w:tr>
    </w:tbl>
    <w:p>
      <w:pPr>
        <w:spacing w:after="0" w:before="0"/>
      </w:pPr>
      <w:r>
        <w:rPr>
          <w:sz w:val="8"/>
        </w:rPr>
      </w:r>
    </w:p>
    <w:tbl>
      <w:tblPr>
        <w:tblW w:type="auto" w:w="0"/>
        <w:jc w:val="center"/>
        <w:tblBorders>
          <w:top w:val="none" w:sz="0" w:space="0"/>
          <w:left w:val="none" w:sz="0" w:space="0"/>
          <w:bottom w:val="none" w:sz="0" w:space="0"/>
          <w:right w:val="none" w:sz="0" w:space="0"/>
          <w:insideH w:val="none" w:sz="0" w:space="0"/>
          <w:insideV w:val="none" w:sz="0" w:space="0"/>
        </w:tblBorders>
        <w:tblLayout w:type="fixed"/>
        <w:tblLook w:firstColumn="1" w:firstRow="1" w:lastColumn="0" w:lastRow="0" w:noHBand="0" w:noVBand="1" w:val="04A0"/>
      </w:tblPr>
      <w:tblGrid>
        <w:gridCol w:w="10766"/>
      </w:tblGrid>
      <w:tr>
        <w:tc>
          <w:tcPr>
            <w:tcW w:type="dxa" w:w="10431"/>
            <w:shd w:val="clear" w:color="auto" w:fill="0F2B54"/>
            <w:tcMar>
              <w:top w:w="140" w:type="dxa"/>
              <w:left w:w="140" w:type="dxa"/>
              <w:bottom w:w="140" w:type="dxa"/>
              <w:right w:w="140" w:type="dxa"/>
            </w:tcMar>
          </w:tcPr>
          <w:p>
            <w:pPr>
              <w:spacing w:after="0" w:before="0"/>
              <w:jc w:val="center"/>
            </w:pPr>
            <w:r>
              <w:rPr>
                <w:rFonts w:ascii="Calibri" w:hAnsi="Calibri" w:eastAsia="Calibri"/>
                <w:b/>
                <w:i w:val="0"/>
                <w:color w:val="FFFFFF"/>
                <w:sz w:val="19"/>
              </w:rPr>
              <w:t>SMC Research — Moneywise. Be Wise.</w:t>
            </w:r>
          </w:p>
          <w:p>
            <w:pPr>
              <w:spacing w:after="0" w:before="0"/>
              <w:jc w:val="center"/>
            </w:pPr>
            <w:r>
              <w:rPr>
                <w:rFonts w:ascii="Calibri" w:hAnsi="Calibri" w:eastAsia="Calibri"/>
                <w:b w:val="0"/>
                <w:i w:val="0"/>
                <w:color w:val="A9C6E8"/>
                <w:sz w:val="17"/>
              </w:rPr>
              <w:t>SQE SmallCase · All Indices Portfolio · Monthly Rebalanced</w:t>
            </w:r>
          </w:p>
          <w:p>
            <w:pPr>
              <w:spacing w:after="0" w:before="0"/>
              <w:jc w:val="center"/>
            </w:pPr>
            <w:r>
              <w:rPr>
                <w:rFonts w:ascii="Calibri" w:hAnsi="Calibri" w:eastAsia="Calibri"/>
                <w:b w:val="0"/>
                <w:i w:val="0"/>
                <w:color w:val="A9C6E8"/>
                <w:sz w:val="17"/>
              </w:rPr>
              <w:t>smcresearch.github.io/SQE-/   ·   Generated: August 09, 2026</w:t>
            </w:r>
          </w:p>
        </w:tc>
      </w:tr>
    </w:tbl>
    <w:sectPr w:rsidR="00FC693F" w:rsidRPr="0006063C" w:rsidSect="00034616">
      <w:pgSz w:w="12240" w:h="15840"/>
      <w:pgMar w:top="680" w:right="737" w:bottom="680"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