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abel"/>
        <w:spacing w:after="120" w:before="480"/>
      </w:pPr>
      <w:r>
        <w:t xml:space="preserve">Report</w:t>
      </w:r>
    </w:p>
    <w:p>
      <w:pPr>
        <w:pStyle w:val="Title"/>
      </w:pPr>
      <w:r>
        <w:t xml:space="preserve">Document title in sentence case</w:t>
      </w:r>
    </w:p>
    <w:p>
      <w:pPr>
        <w:pStyle w:val="Subtitle"/>
      </w:pPr>
      <w:r>
        <w:t xml:space="preserve">A subtitle that says who it is for and why</w:t>
      </w:r>
    </w:p>
    <w:p>
      <w:pPr>
        <w:spacing w:after="120"/>
      </w:pPr>
      <w:r>
        <w:drawing>
          <wp:inline distT="0" distB="0" distL="0" distR="0">
            <wp:extent cx="5734050" cy="8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Smedley Group, September 2026</w:t>
      </w:r>
    </w:p>
    <w:p>
      <w:pPr>
        <w:pStyle w:val="Heading1"/>
      </w:pPr>
      <w:r>
        <w:t xml:space="preserve">Summary</w:t>
      </w:r>
    </w:p>
    <w:p>
      <w:pPr>
        <w:pStyle w:val="Lead"/>
      </w:pPr>
      <w:r>
        <w:t xml:space="preserve">Lead with the conclusion. The reader should be able to stop after this paragraph and still act on it.</w:t>
      </w:r>
    </w:p>
    <w:p>
      <w:pPr>
        <w:pStyle w:val="Body"/>
      </w:pPr>
      <w:r>
        <w:t xml:space="preserve">Body text is Sora Regular, 10 pt on 15 pt. Write in plain words and full sentences, in sentence case. Put numbers with their units: 0.18 s, 57 %, 1,406 sessions.</w:t>
      </w:r>
    </w:p>
    <w:p>
      <w:pPr>
        <w:pStyle w:val="Heading1"/>
      </w:pPr>
      <w:r>
        <w:t xml:space="preserve">Section heading</w:t>
      </w:r>
    </w:p>
    <w:p>
      <w:pPr>
        <w:pStyle w:val="Heading2"/>
      </w:pPr>
      <w:r>
        <w:t xml:space="preserve">Subheading</w:t>
      </w:r>
    </w:p>
    <w:p>
      <w:pPr>
        <w:pStyle w:val="Body"/>
        <w:numPr>
          <w:ilvl w:val="0"/>
          <w:numId w:val="2"/>
        </w:numPr>
        <w:spacing w:after="80"/>
      </w:pPr>
      <w:r>
        <w:t xml:space="preserve">Lists use an en rule in Race Red, never a literal bullet character</w:t>
      </w:r>
    </w:p>
    <w:p>
      <w:pPr>
        <w:pStyle w:val="Body"/>
        <w:numPr>
          <w:ilvl w:val="0"/>
          <w:numId w:val="2"/>
        </w:numPr>
        <w:spacing w:after="80"/>
      </w:pPr>
      <w:r>
        <w:t xml:space="preserve">One point per item, as a full sentence</w:t>
      </w:r>
    </w:p>
    <w:p>
      <w:pPr>
        <w:pStyle w:val="Body"/>
        <w:numPr>
          <w:ilvl w:val="0"/>
          <w:numId w:val="2"/>
        </w:numPr>
        <w:spacing w:after="80"/>
      </w:pPr>
      <w:r>
        <w:t xml:space="preserve">Keep lists short: three to five items</w:t>
      </w:r>
    </w:p>
    <w:p>
      <w:pPr>
        <w:pStyle w:val="Heading2"/>
      </w:pPr>
      <w:r>
        <w:t xml:space="preserve">Figures</w:t>
      </w:r>
    </w:p>
    <w:p>
      <w:pPr>
        <w:pStyle w:val="Figure"/>
      </w:pPr>
      <w:r>
        <w:t xml:space="preserve">57</w:t>
      </w:r>
      <w:r>
        <w:rPr>
          <w:color w:val="D8231A"/>
          <w:sz w:val="32"/>
          <w:szCs w:val="32"/>
        </w:rPr>
        <w:t xml:space="preserve"> %</w:t>
      </w:r>
    </w:p>
    <w:p>
      <w:pPr>
        <w:pStyle w:val="Caption"/>
      </w:pPr>
      <w:r>
        <w:t xml:space="preserve">Figure: one hero number, Sora SemiBold, with its unit in red</w:t>
      </w:r>
    </w:p>
    <w:p>
      <w:pPr>
        <w:pStyle w:val="Heading2"/>
        <w:keepNext/>
      </w:pPr>
      <w:r>
        <w:t xml:space="preserve">Tables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2009"/>
        <w:gridCol w:w="2009"/>
        <w:gridCol w:w="2008"/>
      </w:tblGrid>
      <w:tr>
        <w:trPr>
          <w:cantSplit/>
          <w:tblHeader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pStyle w:val="Caption"/>
              <w:keepNext/>
              <w:keepLines/>
            </w:pPr>
            <w:r>
              <w:rPr>
                <w:b w:val="false"/>
                <w:bCs w:val="false"/>
              </w:rPr>
              <w:t xml:space="preserve">Driver</w:t>
            </w:r>
          </w:p>
        </w:tc>
        <w:tc>
          <w:tcPr>
            <w:tcW w:type="dxa" w:w="2009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pStyle w:val="Caption"/>
              <w:keepNext/>
              <w:keepLines/>
            </w:pPr>
            <w:r>
              <w:rPr>
                <w:b w:val="false"/>
                <w:bCs w:val="false"/>
              </w:rPr>
              <w:t xml:space="preserve">Hub</w:t>
            </w:r>
          </w:p>
        </w:tc>
        <w:tc>
          <w:tcPr>
            <w:tcW w:type="dxa" w:w="2009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pStyle w:val="Caption"/>
              <w:keepNext/>
              <w:keepLines/>
            </w:pPr>
            <w:r>
              <w:rPr>
                <w:b w:val="false"/>
                <w:bCs w:val="false"/>
              </w:rPr>
              <w:t xml:space="preserve">Index</w:t>
            </w:r>
          </w:p>
        </w:tc>
        <w:tc>
          <w:tcPr>
            <w:tcW w:type="dxa" w:w="2008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pStyle w:val="Caption"/>
              <w:keepNext/>
              <w:keepLines/>
            </w:pPr>
            <w:r>
              <w:rPr>
                <w:b w:val="false"/>
                <w:bCs w:val="false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pStyle w:val="Body"/>
              <w:keepNext/>
              <w:keepLines/>
            </w:pPr>
            <w:r>
              <w:rPr>
                <w:b/>
                <w:bCs/>
              </w:rPr>
              <w:t xml:space="preserve">Maja Kowalczyk</w:t>
            </w:r>
          </w:p>
        </w:tc>
        <w:tc>
          <w:tcPr>
            <w:tcW w:type="dxa" w:w="2009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pStyle w:val="Body"/>
              <w:keepNext/>
              <w:keepLines/>
            </w:pPr>
            <w:r>
              <w:rPr>
                <w:b w:val="false"/>
                <w:bCs w:val="false"/>
              </w:rPr>
              <w:t xml:space="preserve">FKL Łódź</w:t>
            </w:r>
          </w:p>
        </w:tc>
        <w:tc>
          <w:tcPr>
            <w:tcW w:type="dxa" w:w="2009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pStyle w:val="Body"/>
              <w:keepNext/>
              <w:keepLines/>
            </w:pPr>
            <w:r>
              <w:rPr>
                <w:rFonts w:ascii="IBM Plex Mono" w:cs="IBM Plex Mono" w:eastAsia="IBM Plex Mono" w:hAnsi="IBM Plex Mono"/>
                <w:b w:val="false"/>
                <w:bCs w:val="false"/>
              </w:rPr>
              <w:t xml:space="preserve">91.4</w:t>
            </w:r>
          </w:p>
        </w:tc>
        <w:tc>
          <w:tcPr>
            <w:tcW w:type="dxa" w:w="2008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pStyle w:val="Body"/>
              <w:keepNext/>
              <w:keepLines/>
            </w:pPr>
            <w:r>
              <w:rPr>
                <w:rFonts w:ascii="IBM Plex Mono" w:cs="IBM Plex Mono" w:eastAsia="IBM Plex Mono" w:hAnsi="IBM Plex Mono"/>
                <w:b w:val="false"/>
                <w:bCs w:val="false"/>
                <w:color w:val="00A04A"/>
              </w:rPr>
              <w:t xml:space="preserve">+3.2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pStyle w:val="Body"/>
              <w:keepNext/>
              <w:keepLines/>
            </w:pPr>
            <w:r>
              <w:rPr>
                <w:b/>
                <w:bCs/>
              </w:rPr>
              <w:t xml:space="preserve">Leo Hartmann</w:t>
            </w:r>
          </w:p>
        </w:tc>
        <w:tc>
          <w:tcPr>
            <w:tcW w:type="dxa" w:w="2009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pStyle w:val="Body"/>
              <w:keepNext/>
              <w:keepLines/>
            </w:pPr>
            <w:r>
              <w:rPr>
                <w:b w:val="false"/>
                <w:bCs w:val="false"/>
              </w:rPr>
              <w:t xml:space="preserve">FKL Milton Keynes</w:t>
            </w:r>
          </w:p>
        </w:tc>
        <w:tc>
          <w:tcPr>
            <w:tcW w:type="dxa" w:w="2009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pStyle w:val="Body"/>
              <w:keepNext/>
              <w:keepLines/>
            </w:pPr>
            <w:r>
              <w:rPr>
                <w:rFonts w:ascii="IBM Plex Mono" w:cs="IBM Plex Mono" w:eastAsia="IBM Plex Mono" w:hAnsi="IBM Plex Mono"/>
                <w:b w:val="false"/>
                <w:bCs w:val="false"/>
              </w:rPr>
              <w:t xml:space="preserve">88.9</w:t>
            </w:r>
          </w:p>
        </w:tc>
        <w:tc>
          <w:tcPr>
            <w:tcW w:type="dxa" w:w="2008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pStyle w:val="Body"/>
              <w:keepNext/>
              <w:keepLines/>
            </w:pPr>
            <w:r>
              <w:rPr>
                <w:rFonts w:ascii="IBM Plex Mono" w:cs="IBM Plex Mono" w:eastAsia="IBM Plex Mono" w:hAnsi="IBM Plex Mono"/>
                <w:b w:val="false"/>
                <w:bCs w:val="false"/>
                <w:color w:val="00A04A"/>
              </w:rPr>
              <w:t xml:space="preserve">+1.1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pStyle w:val="Body"/>
              <w:keepNext w:val="false"/>
              <w:keepLines/>
            </w:pPr>
            <w:r>
              <w:rPr>
                <w:b/>
                <w:bCs/>
              </w:rPr>
              <w:t xml:space="preserve">Aarav Mehta</w:t>
            </w:r>
          </w:p>
        </w:tc>
        <w:tc>
          <w:tcPr>
            <w:tcW w:type="dxa" w:w="2009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pStyle w:val="Body"/>
              <w:keepNext w:val="false"/>
              <w:keepLines/>
            </w:pPr>
            <w:r>
              <w:rPr>
                <w:b w:val="false"/>
                <w:bCs w:val="false"/>
              </w:rPr>
              <w:t xml:space="preserve">FKL Dubai</w:t>
            </w:r>
          </w:p>
        </w:tc>
        <w:tc>
          <w:tcPr>
            <w:tcW w:type="dxa" w:w="2009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pStyle w:val="Body"/>
              <w:keepNext w:val="false"/>
              <w:keepLines/>
            </w:pPr>
            <w:r>
              <w:rPr>
                <w:rFonts w:ascii="IBM Plex Mono" w:cs="IBM Plex Mono" w:eastAsia="IBM Plex Mono" w:hAnsi="IBM Plex Mono"/>
                <w:b w:val="false"/>
                <w:bCs w:val="false"/>
              </w:rPr>
              <w:t xml:space="preserve">86.2</w:t>
            </w:r>
          </w:p>
        </w:tc>
        <w:tc>
          <w:tcPr>
            <w:tcW w:type="dxa" w:w="2008"/>
            <w:tcBorders>
              <w:top w:val="none" w:color="FFFFFF" w:sz="0"/>
              <w:left w:val="none" w:color="FFFFFF" w:sz="0"/>
              <w:bottom w:val="single" w:color="D9DADD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120"/>
            </w:tcMar>
          </w:tcPr>
          <w:p>
            <w:pPr>
              <w:pStyle w:val="Body"/>
              <w:keepNext w:val="false"/>
              <w:keepLines/>
            </w:pPr>
            <w:r>
              <w:rPr>
                <w:rFonts w:ascii="IBM Plex Mono" w:cs="IBM Plex Mono" w:eastAsia="IBM Plex Mono" w:hAnsi="IBM Plex Mono"/>
                <w:b w:val="false"/>
                <w:bCs w:val="false"/>
                <w:color w:val="00A04A"/>
              </w:rPr>
              <w:t xml:space="preserve">+4.6</w:t>
            </w:r>
          </w:p>
        </w:tc>
      </w:tr>
    </w:tbl>
    <w:p>
      <w:pPr>
        <w:pStyle w:val="Caption"/>
      </w:pPr>
      <w:r>
        <w:t xml:space="preserve">Tables use hairlines, not boxes. Measured values are set in IBM Plex Mono.</w:t>
      </w:r>
    </w:p>
    <w:p>
      <w:pPr>
        <w:pStyle w:val="Strapline"/>
      </w:pPr>
      <w:r>
        <w:t xml:space="preserve">Maja is ready for an F4 test day this winter</w:t>
      </w:r>
    </w:p>
    <w:p>
      <w:pPr>
        <w:pStyle w:val="Caption"/>
      </w:pPr>
      <w:r>
        <w:t xml:space="preserve">The strapline closes a document or a section with its conclusion, in one sentence. It never restates the title.</w:t>
      </w:r>
    </w:p>
    <w:sectPr>
      <w:headerReference w:type="default" r:id="rId7"/>
      <w:footerReference w:type="default" r:id="rId8"/>
      <w:pgSz w:w="11906" w:h="16838" w:orient="portrait"/>
      <w:pgMar w:top="1440" w:right="1440" w:bottom="1300" w:left="1440" w:header="60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ADD" w:sz="4" w:space="8"/>
      </w:pBdr>
      <w:tabs>
        <w:tab w:val="right" w:pos="9026"/>
      </w:tabs>
    </w:pPr>
    <w:r>
      <w:rPr>
        <w:rFonts w:ascii="IBM Plex Mono" w:cs="IBM Plex Mono" w:eastAsia="IBM Plex Mono" w:hAnsi="IBM Plex Mono"/>
        <w:color w:val="585D65"/>
        <w:sz w:val="15"/>
        <w:szCs w:val="15"/>
      </w:rPr>
      <w:t xml:space="preserve">Smedley Group</w:t>
    </w:r>
    <w:r>
      <w:rPr>
        <w:rFonts w:ascii="IBM Plex Mono" w:cs="IBM Plex Mono" w:eastAsia="IBM Plex Mono" w:hAnsi="IBM Plex Mono"/>
        <w:color w:val="585D65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923925" cy="4000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23925" cy="4000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60"/>
      </w:pPr>
      <w:rPr>
        <w:color w:val="D8231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ra" w:cs="Sora" w:eastAsia="Sora" w:hAnsi="Sora"/>
        <w:color w:val="0B0C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Subtitle"/>
    <w:qFormat/>
    <w:pPr>
      <w:spacing w:after="120" w:before="0" w:line="264"/>
    </w:pPr>
    <w:rPr>
      <w:rFonts w:ascii="Sora SemiBold" w:cs="Sora SemiBold" w:eastAsia="Sora SemiBold" w:hAnsi="Sora SemiBold"/>
      <w:color w:val="0B0C0E"/>
      <w:sz w:val="56"/>
      <w:szCs w:val="56"/>
    </w:rPr>
  </w:style>
  <w:style w:type="paragraph" w:styleId="Subtitle">
    <w:name w:val="Subtitle"/>
    <w:basedOn w:val="Normal"/>
    <w:next w:val="Body"/>
    <w:qFormat/>
    <w:pPr>
      <w:spacing w:after="360"/>
    </w:pPr>
    <w:rPr>
      <w:rFonts w:ascii="Sora Light" w:cs="Sora Light" w:eastAsia="Sora Light" w:hAnsi="Sora Light"/>
      <w:color w:val="585D65"/>
      <w:sz w:val="28"/>
      <w:szCs w:val="28"/>
    </w:rPr>
  </w:style>
  <w:style w:type="paragraph" w:styleId="Heading1">
    <w:name w:val="Heading 1"/>
    <w:basedOn w:val="Normal"/>
    <w:next w:val="Body"/>
    <w:qFormat/>
    <w:pPr>
      <w:keepNext/>
      <w:spacing w:after="140" w:before="400"/>
      <w:outlineLvl w:val="0"/>
    </w:pPr>
    <w:rPr>
      <w:rFonts w:ascii="Sora SemiBold" w:cs="Sora SemiBold" w:eastAsia="Sora SemiBold" w:hAnsi="Sora SemiBold"/>
      <w:color w:val="0B0C0E"/>
      <w:sz w:val="32"/>
      <w:szCs w:val="32"/>
    </w:rPr>
  </w:style>
  <w:style w:type="paragraph" w:styleId="Heading2">
    <w:name w:val="Heading 2"/>
    <w:basedOn w:val="Normal"/>
    <w:next w:val="Body"/>
    <w:qFormat/>
    <w:pPr>
      <w:keepNext/>
      <w:spacing w:after="100" w:before="320"/>
      <w:outlineLvl w:val="1"/>
    </w:pPr>
    <w:rPr>
      <w:rFonts w:ascii="Sora SemiBold" w:cs="Sora SemiBold" w:eastAsia="Sora SemiBold" w:hAnsi="Sora SemiBold"/>
      <w:color w:val="0B0C0E"/>
      <w:sz w:val="22"/>
      <w:szCs w:val="22"/>
    </w:rPr>
  </w:style>
  <w:style w:type="paragraph" w:styleId="Body">
    <w:name w:val="Body"/>
    <w:basedOn w:val="Normal"/>
    <w:qFormat/>
    <w:pPr>
      <w:spacing w:after="160" w:line="300"/>
    </w:pPr>
    <w:rPr>
      <w:rFonts w:ascii="Sora" w:cs="Sora" w:eastAsia="Sora" w:hAnsi="Sora"/>
      <w:color w:val="0B0C0E"/>
      <w:sz w:val="20"/>
      <w:szCs w:val="20"/>
    </w:rPr>
  </w:style>
  <w:style w:type="paragraph" w:styleId="Lead">
    <w:name w:val="Lead"/>
    <w:basedOn w:val="Body"/>
    <w:next w:val="Body"/>
    <w:qFormat/>
    <w:pPr>
      <w:spacing w:after="240" w:line="320"/>
    </w:pPr>
    <w:rPr>
      <w:rFonts w:ascii="Sora" w:cs="Sora" w:eastAsia="Sora" w:hAnsi="Sora"/>
      <w:color w:val="0B0C0E"/>
      <w:sz w:val="26"/>
      <w:szCs w:val="26"/>
    </w:rPr>
  </w:style>
  <w:style w:type="paragraph" w:styleId="Label">
    <w:name w:val="Label"/>
    <w:basedOn w:val="Normal"/>
    <w:next w:val="Title"/>
    <w:qFormat/>
    <w:pPr>
      <w:spacing w:after="120"/>
    </w:pPr>
    <w:rPr>
      <w:rFonts w:ascii="IBM Plex Mono" w:cs="IBM Plex Mono" w:eastAsia="IBM Plex Mono" w:hAnsi="IBM Plex Mono"/>
      <w:color w:val="1F66E0"/>
      <w:sz w:val="17"/>
      <w:szCs w:val="17"/>
    </w:rPr>
  </w:style>
  <w:style w:type="paragraph" w:styleId="Caption">
    <w:name w:val="Caption"/>
    <w:basedOn w:val="Normal"/>
    <w:next w:val="Body"/>
    <w:qFormat/>
    <w:pPr>
      <w:spacing w:after="240" w:before="80"/>
    </w:pPr>
    <w:rPr>
      <w:rFonts w:ascii="IBM Plex Mono" w:cs="IBM Plex Mono" w:eastAsia="IBM Plex Mono" w:hAnsi="IBM Plex Mono"/>
      <w:color w:val="585D65"/>
      <w:sz w:val="16"/>
      <w:szCs w:val="16"/>
    </w:rPr>
  </w:style>
  <w:style w:type="paragraph" w:styleId="Figure">
    <w:name w:val="Figure"/>
    <w:basedOn w:val="Normal"/>
    <w:next w:val="Body"/>
    <w:qFormat/>
    <w:pPr>
      <w:spacing w:after="0" w:before="120"/>
    </w:pPr>
    <w:rPr>
      <w:rFonts w:ascii="Sora SemiBold" w:cs="Sora SemiBold" w:eastAsia="Sora SemiBold" w:hAnsi="Sora SemiBold"/>
      <w:color w:val="0B0C0E"/>
      <w:sz w:val="64"/>
      <w:szCs w:val="64"/>
    </w:rPr>
  </w:style>
  <w:style w:type="paragraph" w:styleId="Strapline">
    <w:name w:val="Strapline"/>
    <w:basedOn w:val="Normal"/>
    <w:next w:val="Body"/>
    <w:qFormat/>
    <w:pPr>
      <w:pBdr>
        <w:top w:val="single" w:color="000000" w:sz="36" w:space="6"/>
        <w:bottom w:val="single" w:color="000000" w:sz="36" w:space="6"/>
      </w:pBdr>
      <w:shd w:fill="000000" w:color="auto" w:val="clear"/>
      <w:spacing w:after="360" w:before="360"/>
      <w:jc w:val="center"/>
    </w:pPr>
    <w:rPr>
      <w:rFonts w:ascii="Sora SemiBold" w:cs="Sora SemiBold" w:eastAsia="Sora SemiBold" w:hAnsi="Sora SemiBold"/>
      <w:color w:val="FFFFF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8afd6462ddab65db7adba6655f33f67c731d06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90095b61c39d040d021b2765762041463d971b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Smedley Group document template</dc:title>
  <dc:creator>Smedley Group</dc:creator>
  <cp:lastModifiedBy>Un-named</cp:lastModifiedBy>
  <cp:revision>1</cp:revision>
  <dcterms:created xsi:type="dcterms:W3CDTF">2026-09-25T20:43:38.615Z</dcterms:created>
  <dcterms:modified xsi:type="dcterms:W3CDTF">2026-09-25T20:43:38.616Z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