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/>
      </w:pPr>
      <w:r>
        <w:drawing>
          <wp:inline distT="0" distB="0" distL="0" distR="0">
            <wp:extent cx="1314450" cy="571500"/>
            <wp:effectExtent t="0" r="0" b="0" l="0"/>
            <wp:docPr id="1" name="Smedley Group" descr="Smedley Group" title="Smedley 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"/>
      </w:pPr>
      <w:r>
        <w:t xml:space="preserve">Report</w:t>
      </w:r>
    </w:p>
    <w:p>
      <w:pPr>
        <w:pStyle w:val="Title"/>
      </w:pPr>
      <w:r>
        <w:t xml:space="preserve">Document title in sentence case</w:t>
      </w:r>
    </w:p>
    <w:p>
      <w:pPr>
        <w:pStyle w:val="Subtitle"/>
      </w:pPr>
      <w:r>
        <w:t xml:space="preserve">A subtitle that says who it is for and why</w:t>
      </w:r>
    </w:p>
    <w:p>
      <w:pPr>
        <w:spacing w:after="200"/>
      </w:pPr>
      <w:r>
        <w:drawing>
          <wp:inline distT="0" distB="0" distL="0" distR="0">
            <wp:extent cx="5734050" cy="85725"/>
            <wp:effectExtent t="0" r="0" b="0" l="0"/>
            <wp:docPr id="1" name="Rule" descr="Red lead into a blue scale rule" title="Scale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mall"/>
      </w:pPr>
      <w:r>
        <w:t xml:space="preserve">Smedley Group</w:t>
      </w:r>
      <w:r>
        <w:rPr>
          <w:color w:val="585D65"/>
        </w:rPr>
        <w:t xml:space="preserve">   September 2026   </w:t>
      </w:r>
      <w:r>
        <w:t xml:space="preserve">Version 1.0</w:t>
      </w:r>
    </w:p>
    <w:p>
      <w:pPr>
        <w:pStyle w:val="Small"/>
        <w:spacing w:before="60"/>
      </w:pPr>
      <w:r>
        <w:t xml:space="preserve">Author name, role</w:t>
      </w:r>
    </w:p>
    <w:p>
      <w:pPr>
        <w:sectPr>
          <w:headerReference w:type="first" r:id="rId7"/>
          <w:footerReference w:type="first" r:id="rId8"/>
          <w:pgSz w:w="11906" w:h="16838" w:orient="portrait"/>
          <w:pgMar w:top="1080" w:right="1440" w:bottom="108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Caption"/>
      </w:pPr>
      <w:r>
        <w:t xml:space="preserve">If the contents are empty, right-click them and choose Update field.</w:t>
      </w:r>
    </w:p>
    <w:p>
      <w:pPr>
        <w:pStyle w:val="Heading1"/>
      </w:pPr>
      <w:r>
        <w:t xml:space="preserve">Summary</w:t>
      </w:r>
    </w:p>
    <w:p>
      <w:pPr>
        <w:pStyle w:val="Lead"/>
      </w:pPr>
      <w:r>
        <w:t xml:space="preserve">Lead with the conclusion. The reader should be able to stop after this paragraph and still act on it.</w:t>
      </w:r>
    </w:p>
    <w:p>
      <w:pPr>
        <w:pStyle w:val="Body"/>
      </w:pPr>
      <w:r>
        <w:t xml:space="preserve">Body text is Sora Regular, 10 pt on 15 pt. Write in plain words and full sentences, in sentence case. Put numbers with their units: 0.18 s, 57 %, 1,406 sessions.</w:t>
      </w:r>
    </w:p>
    <w:p>
      <w:pPr>
        <w:pStyle w:val="Note"/>
      </w:pPr>
      <w:r>
        <w:t xml:space="preserve">Notes carry an aside the reader should not miss: a caveat, a dependency, a decision still open. They sit on a blue rule.</w:t>
      </w:r>
    </w:p>
    <w:p>
      <w:pPr>
        <w:pStyle w:val="Heading1"/>
      </w:pPr>
      <w:r>
        <w:t xml:space="preserve">Section heading</w:t>
      </w:r>
    </w:p>
    <w:p>
      <w:pPr>
        <w:pStyle w:val="Heading2"/>
      </w:pPr>
      <w:r>
        <w:t xml:space="preserve">Subheading</w:t>
      </w:r>
    </w:p>
    <w:p>
      <w:pPr>
        <w:pStyle w:val="Heading3"/>
      </w:pPr>
      <w:r>
        <w:t xml:space="preserve">Heading 3 labels a group of paragraphs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Lists use an en rule in Race Red, never a literal bullet character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One point per item, as a full sentence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Keep lists short: three to five items</w:t>
      </w:r>
    </w:p>
    <w:p>
      <w:pPr>
        <w:pStyle w:val="Body"/>
        <w:spacing w:before="200"/>
      </w:pPr>
      <w:r>
        <w:t xml:space="preserve">Steps in order are numbered in mono.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Book the test day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Confirm the driver and the car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Send the setup sheet the day before</w:t>
      </w:r>
    </w:p>
    <w:p>
      <w:pPr>
        <w:pStyle w:val="Heading2"/>
      </w:pPr>
      <w:r>
        <w:t xml:space="preserve">Figures</w:t>
      </w:r>
    </w:p>
    <w:p>
      <w:pPr>
        <w:pStyle w:val="Figure"/>
      </w:pPr>
      <w:r>
        <w:t xml:space="preserve">57</w:t>
      </w:r>
      <w:r>
        <w:rPr>
          <w:color w:val="D8231A"/>
          <w:sz w:val="36"/>
          <w:szCs w:val="36"/>
        </w:rPr>
        <w:t xml:space="preserve"> %</w:t>
      </w:r>
    </w:p>
    <w:p>
      <w:pPr>
        <w:pStyle w:val="Caption"/>
      </w:pPr>
      <w:r>
        <w:t xml:space="preserve">Figure: one hero number, Sora SemiBold, with its unit in red</w:t>
      </w:r>
    </w:p>
    <w:p>
      <w:pPr>
        <w:pStyle w:val="Heading2"/>
      </w:pPr>
      <w:r>
        <w:t xml:space="preserve">Tables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2626"/>
        <w:gridCol w:w="1600"/>
        <w:gridCol w:w="1600"/>
      </w:tblGrid>
      <w:tr>
        <w:trPr>
          <w:cantSplit/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Driver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Hub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Index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/>
                <w:bCs/>
              </w:rPr>
              <w:t xml:space="preserve">Maja Kowalczyk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Łódź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91.4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7A38"/>
              </w:rPr>
              <w:t xml:space="preserve">+3.2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/>
                <w:bCs/>
              </w:rPr>
              <w:t xml:space="preserve">Leo Hartmann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Milton Keynes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88.9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7A38"/>
              </w:rPr>
              <w:t xml:space="preserve">+1.1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left"/>
            </w:pPr>
            <w:r>
              <w:rPr>
                <w:b/>
                <w:bCs/>
              </w:rPr>
              <w:t xml:space="preserve">Aarav Mehta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Dubai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86.2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right"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7A38"/>
              </w:rPr>
              <w:t xml:space="preserve">+4.6</w:t>
            </w:r>
          </w:p>
        </w:tc>
      </w:tr>
    </w:tbl>
    <w:p>
      <w:pPr>
        <w:pStyle w:val="Caption"/>
      </w:pPr>
      <w:r>
        <w:t xml:space="preserve">Tables use hairlines, not boxes. Measured values are set in IBM Plex Mono and aligned right.</w:t>
      </w:r>
    </w:p>
    <w:p>
      <w:pPr>
        <w:pStyle w:val="Heading2"/>
      </w:pPr>
      <w:r>
        <w:t xml:space="preserve">Quotes</w:t>
      </w:r>
    </w:p>
    <w:p>
      <w:pPr>
        <w:pStyle w:val="Quote"/>
      </w:pPr>
      <w:r>
        <w:t xml:space="preserve">“The index told us what the stopwatch never could: who gets faster when it matters.”</w:t>
      </w:r>
    </w:p>
    <w:p>
      <w:pPr>
        <w:pStyle w:val="Caption"/>
      </w:pPr>
      <w:r>
        <w:t xml:space="preserve">Head of driver development, FAT Racing</w:t>
      </w:r>
    </w:p>
    <w:p>
      <w:pPr>
        <w:pStyle w:val="Strapline"/>
      </w:pPr>
      <w:r>
        <w:t xml:space="preserve">Maja is ready for an F4 test day this winter</w:t>
      </w:r>
    </w:p>
    <w:p>
      <w:pPr>
        <w:pStyle w:val="Caption"/>
      </w:pPr>
      <w:r>
        <w:t xml:space="preserve">The strapline closes a document or a section with its conclusion, in one sentence. It never restates the title.</w:t>
      </w:r>
    </w:p>
    <w:sectPr>
      <w:headerReference w:type="default" r:id="rId9"/>
      <w:footerReference w:type="default" r:id="rId10"/>
      <w:pgSz w:w="11906" w:h="16838" w:orient="portrait"/>
      <w:pgMar w:top="1440" w:right="1440" w:bottom="1300" w:left="1440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D9DADD" w:sz="4" w:space="8"/>
      </w:pBdr>
      <w:tabs>
        <w:tab w:val="right" w:pos="9026"/>
      </w:tabs>
    </w:pPr>
    <w:r>
      <w:t xml:space="preserve">Smedley Group</w:t>
    </w:r>
    <w: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90500" cy="28575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color w:val="585D65"/>
        <w:sz w:val="15"/>
        <w:szCs w:val="15"/>
      </w:rPr>
      <w:t xml:space="preserve">	Document title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60"/>
      </w:pPr>
      <w:rPr>
        <w:color w:val="D8231A"/>
      </w:rPr>
    </w:lvl>
  </w:abstractNum>
  <w:abstractNum w:abstractNumId="3" w15:restartNumberingAfterBreak="0">
    <w:multiLevelType w:val="hybridMultilevel"/>
    <w:lvl w:ilvl="0" w15:tentative="1">
      <w:start w:val="1"/>
      <w:numFmt w:val="decimalZero"/>
      <w:lvlText w:val="%1"/>
      <w:lvlJc w:val="left"/>
      <w:pPr>
        <w:ind w:left="480" w:hanging="480"/>
      </w:pPr>
      <w:rPr>
        <w:rFonts w:ascii="IBM Plex Mono" w:cs="IBM Plex Mono" w:eastAsia="IBM Plex Mono" w:hAnsi="IBM Plex Mono"/>
        <w:color w:val="1F66E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ra" w:cs="Sora" w:eastAsia="Sora" w:hAnsi="Sora"/>
        <w:color w:val="0B0C0E"/>
        <w:sz w:val="20"/>
        <w:szCs w:val="20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qFormat/>
    <w:pPr>
      <w:spacing w:after="160" w:before="0" w:line="252"/>
    </w:pPr>
    <w:rPr>
      <w:rFonts w:ascii="Sora SemiBold" w:cs="Sora SemiBold" w:eastAsia="Sora SemiBold" w:hAnsi="Sora SemiBold"/>
      <w:color w:val="0B0C0E"/>
      <w:sz w:val="64"/>
      <w:szCs w:val="64"/>
    </w:rPr>
  </w:style>
  <w:style w:type="paragraph" w:styleId="Subtitle">
    <w:name w:val="Subtitle"/>
    <w:basedOn w:val="Normal"/>
    <w:next w:val="Body"/>
    <w:qFormat/>
    <w:pPr>
      <w:spacing w:after="480" w:line="320"/>
    </w:pPr>
    <w:rPr>
      <w:rFonts w:ascii="Sora Light" w:cs="Sora Light" w:eastAsia="Sora Light" w:hAnsi="Sora Light"/>
      <w:color w:val="585D65"/>
      <w:sz w:val="30"/>
      <w:szCs w:val="30"/>
    </w:rPr>
  </w:style>
  <w:style w:type="paragraph" w:styleId="Heading1">
    <w:name w:val="Heading 1"/>
    <w:basedOn w:val="Normal"/>
    <w:next w:val="Body"/>
    <w:qFormat/>
    <w:pPr>
      <w:keepNext/>
      <w:keepLines/>
      <w:spacing w:after="160" w:before="480" w:line="264"/>
      <w:outlineLvl w:val="0"/>
    </w:pPr>
    <w:rPr>
      <w:rFonts w:ascii="Sora SemiBold" w:cs="Sora SemiBold" w:eastAsia="Sora SemiBold" w:hAnsi="Sora SemiBold"/>
      <w:color w:val="0B0C0E"/>
      <w:sz w:val="34"/>
      <w:szCs w:val="34"/>
    </w:rPr>
  </w:style>
  <w:style w:type="paragraph" w:styleId="Heading2">
    <w:name w:val="Heading 2"/>
    <w:basedOn w:val="Normal"/>
    <w:next w:val="Body"/>
    <w:qFormat/>
    <w:pPr>
      <w:keepNext/>
      <w:keepLines/>
      <w:spacing w:after="120" w:before="360"/>
      <w:outlineLvl w:val="1"/>
    </w:pPr>
    <w:rPr>
      <w:rFonts w:ascii="Sora SemiBold" w:cs="Sora SemiBold" w:eastAsia="Sora SemiBold" w:hAnsi="Sora SemiBold"/>
      <w:color w:val="0B0C0E"/>
      <w:sz w:val="24"/>
      <w:szCs w:val="24"/>
    </w:rPr>
  </w:style>
  <w:style w:type="paragraph" w:styleId="Heading3">
    <w:name w:val="Heading 3"/>
    <w:basedOn w:val="Normal"/>
    <w:next w:val="Body"/>
    <w:qFormat/>
    <w:pPr>
      <w:keepNext/>
      <w:spacing w:after="80" w:before="280"/>
      <w:outlineLvl w:val="2"/>
    </w:pPr>
    <w:rPr>
      <w:rFonts w:ascii="IBM Plex Mono" w:cs="IBM Plex Mono" w:eastAsia="IBM Plex Mono" w:hAnsi="IBM Plex Mono"/>
      <w:color w:val="1F66E0"/>
      <w:sz w:val="17"/>
      <w:szCs w:val="17"/>
    </w:rPr>
  </w:style>
  <w:style w:type="paragraph" w:styleId="Body">
    <w:name w:val="Body"/>
    <w:basedOn w:val="Normal"/>
    <w:qFormat/>
    <w:pPr>
      <w:spacing w:after="160" w:line="300"/>
    </w:pPr>
    <w:rPr>
      <w:rFonts w:ascii="Sora" w:cs="Sora" w:eastAsia="Sora" w:hAnsi="Sora"/>
      <w:color w:val="0B0C0E"/>
      <w:sz w:val="20"/>
      <w:szCs w:val="20"/>
    </w:rPr>
  </w:style>
  <w:style w:type="paragraph" w:styleId="Lead">
    <w:name w:val="Lead"/>
    <w:basedOn w:val="Body"/>
    <w:next w:val="Body"/>
    <w:qFormat/>
    <w:pPr>
      <w:spacing w:after="240" w:line="336"/>
    </w:pPr>
    <w:rPr>
      <w:rFonts w:ascii="Sora" w:cs="Sora" w:eastAsia="Sora" w:hAnsi="Sora"/>
      <w:color w:val="0B0C0E"/>
      <w:sz w:val="26"/>
      <w:szCs w:val="26"/>
    </w:rPr>
  </w:style>
  <w:style w:type="paragraph" w:styleId="Label">
    <w:name w:val="Label"/>
    <w:basedOn w:val="Normal"/>
    <w:next w:val="Title"/>
    <w:qFormat/>
    <w:pPr>
      <w:spacing w:after="160"/>
    </w:pPr>
    <w:rPr>
      <w:rFonts w:ascii="IBM Plex Mono" w:cs="IBM Plex Mono" w:eastAsia="IBM Plex Mono" w:hAnsi="IBM Plex Mono"/>
      <w:color w:val="1F66E0"/>
      <w:sz w:val="17"/>
      <w:szCs w:val="17"/>
    </w:rPr>
  </w:style>
  <w:style w:type="paragraph" w:styleId="Caption">
    <w:name w:val="Caption"/>
    <w:basedOn w:val="Normal"/>
    <w:next w:val="Body"/>
    <w:qFormat/>
    <w:pPr>
      <w:spacing w:after="240" w:before="80" w:line="260"/>
    </w:pPr>
    <w:rPr>
      <w:rFonts w:ascii="IBM Plex Mono" w:cs="IBM Plex Mono" w:eastAsia="IBM Plex Mono" w:hAnsi="IBM Plex Mono"/>
      <w:color w:val="585D65"/>
      <w:sz w:val="16"/>
      <w:szCs w:val="16"/>
    </w:rPr>
  </w:style>
  <w:style w:type="paragraph" w:styleId="Figure">
    <w:name w:val="Figure"/>
    <w:basedOn w:val="Normal"/>
    <w:next w:val="Caption"/>
    <w:qFormat/>
    <w:pPr>
      <w:keepNext/>
      <w:spacing w:after="0" w:before="160" w:line="240"/>
    </w:pPr>
    <w:rPr>
      <w:rFonts w:ascii="Sora SemiBold" w:cs="Sora SemiBold" w:eastAsia="Sora SemiBold" w:hAnsi="Sora SemiBold"/>
      <w:color w:val="0B0C0E"/>
      <w:sz w:val="72"/>
      <w:szCs w:val="72"/>
    </w:rPr>
  </w:style>
  <w:style w:type="paragraph" w:styleId="Note">
    <w:name w:val="Note"/>
    <w:basedOn w:val="Body"/>
    <w:next w:val="Body"/>
    <w:qFormat/>
    <w:pPr>
      <w:pBdr>
        <w:left w:val="single" w:color="1F66E0" w:sz="18" w:space="12"/>
      </w:pBdr>
      <w:spacing w:after="240" w:before="120"/>
      <w:ind w:left="240"/>
    </w:pPr>
    <w:rPr>
      <w:color w:val="0B0C0E"/>
    </w:rPr>
  </w:style>
  <w:style w:type="paragraph" w:styleId="Quote">
    <w:name w:val="Quote"/>
    <w:basedOn w:val="Normal"/>
    <w:next w:val="Caption"/>
    <w:qFormat/>
    <w:pPr>
      <w:pBdr>
        <w:top w:val="single" w:color="D8231A" w:sz="18" w:space="14"/>
      </w:pBdr>
      <w:spacing w:after="80" w:before="360" w:line="360"/>
      <w:ind w:right="1440"/>
    </w:pPr>
    <w:rPr>
      <w:rFonts w:ascii="Sora Light" w:cs="Sora Light" w:eastAsia="Sora Light" w:hAnsi="Sora Light"/>
      <w:color w:val="0B0C0E"/>
      <w:sz w:val="30"/>
      <w:szCs w:val="30"/>
    </w:rPr>
  </w:style>
  <w:style w:type="paragraph" w:styleId="Strapline">
    <w:name w:val="Strapline"/>
    <w:basedOn w:val="Normal"/>
    <w:next w:val="Body"/>
    <w:qFormat/>
    <w:pPr>
      <w:pBdr>
        <w:top w:val="single" w:color="000000" w:sz="36" w:space="6"/>
        <w:bottom w:val="single" w:color="000000" w:sz="36" w:space="6"/>
      </w:pBdr>
      <w:shd w:fill="000000" w:color="auto" w:val="clear"/>
      <w:spacing w:after="360" w:before="360"/>
      <w:jc w:val="center"/>
    </w:pPr>
    <w:rPr>
      <w:rFonts w:ascii="Sora SemiBold" w:cs="Sora SemiBold" w:eastAsia="Sora SemiBold" w:hAnsi="Sora SemiBold"/>
      <w:color w:val="FFFFFF"/>
      <w:sz w:val="22"/>
      <w:szCs w:val="22"/>
    </w:rPr>
  </w:style>
  <w:style w:type="paragraph" w:styleId="Small">
    <w:name w:val="Small"/>
    <w:basedOn w:val="Normal"/>
    <w:qFormat/>
    <w:pPr>
      <w:spacing w:after="0" w:line="240"/>
    </w:pPr>
    <w:rPr>
      <w:rFonts w:ascii="IBM Plex Mono" w:cs="IBM Plex Mono" w:eastAsia="IBM Plex Mono" w:hAnsi="IBM Plex Mono"/>
      <w:color w:val="585D65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6748a6835ffc8483b698fb5988e92ebc484557e9.png"/><Relationship Id="rId12" Type="http://schemas.openxmlformats.org/officeDocument/2006/relationships/image" Target="media/18afd6462ddab65db7adba6655f33f67c731d06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15d39a2c49c748d5b97154d7d201a2123bcb42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Smedley Group report template</dc:title>
  <dc:creator>Smedley Group</dc:creator>
  <dc:description>Report template on the Smedley Group brand</dc:description>
  <cp:lastModifiedBy>Un-named</cp:lastModifiedBy>
  <cp:revision>1</cp:revision>
  <dcterms:created xsi:type="dcterms:W3CDTF">2026-09-26T13:54:24.373Z</dcterms:created>
  <dcterms:modified xsi:type="dcterms:W3CDTF">2026-09-26T13:54:24.373Z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