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EDA — Future Architectural Improvements &amp; Roadmap</w:t>
      </w:r>
    </w:p>
    <w:p>
      <w:pPr>
        <w:spacing w:after="360"/>
      </w:pPr>
      <w:r>
        <w:rPr>
          <w:i/>
          <w:color w:val="4A5568"/>
          <w:sz w:val="24"/>
        </w:rPr>
        <w:t>Risk Model Exploratory Data Analysis (RMEDA) Platform Extension Plan</w:t>
      </w:r>
    </w:p>
    <w:p>
      <w:r>
        <w:t>This technical roadmap outlines key strategic enhancements for extending the capability matrix of the Risk Model Exploratory Data Analysis (RMEDA) platform. The roadmap is bifurcated into immediate optimization layers for the metadata-only architecture and advanced structural features unlocked via raw enterprise dataset integration.</w:t>
      </w:r>
    </w:p>
    <w:p>
      <w:pPr>
        <w:pStyle w:val="Heading2"/>
      </w:pPr>
      <w:r>
        <w:t>1. Enhancements to the Metadata-Only Pipeline</w:t>
      </w:r>
    </w:p>
    <w:p>
      <w:r>
        <w:t>These systemic improvements can be seamlessly deployed directly onto the existing metadata catalog and data ingestion structure, requiring no direct access to individual underlying data records.</w:t>
      </w:r>
    </w:p>
    <w:p>
      <w:pPr>
        <w:pStyle w:val="Heading3"/>
      </w:pPr>
      <w:r>
        <w:t>A. Headless/Offline AI via Local LLM Integrations (Ollama)</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Local LLM Deployment Details</w:t>
              <w:br/>
            </w:r>
            <w:r>
              <w:rPr>
                <w:b/>
              </w:rPr>
              <w:t xml:space="preserve">• Objective: </w:t>
            </w:r>
            <w:r>
              <w:t>Replace external cloud-based OpenAI APIs with self-contained, zero-cost local runners for air-gapped enterprise environments.</w:t>
              <w:br/>
            </w:r>
            <w:r>
              <w:rPr>
                <w:b/>
              </w:rPr>
              <w:t xml:space="preserve">• Implementation Details: </w:t>
            </w:r>
            <w:r>
              <w:t>Update abt/llm/llm_client.py and abt/llm/llm_config.py to route evaluation tasks to an offline model host running locally (e.g., http://localhost:11434/api/chat orchestrating Llama 3 or Mistral). This secures proprietary data catalog metadata entirely within the enterprise perimeter and eliminates external operational dependencies.</w:t>
            </w:r>
          </w:p>
        </w:tc>
      </w:tr>
    </w:tbl>
    <w:p>
      <w:pPr>
        <w:pStyle w:val="Heading3"/>
      </w:pPr>
      <w:r>
        <w:t>B. Feature Importance Integration vs. Derived Urgency Metrics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Feature Weighting Details</w:t>
              <w:br/>
            </w:r>
            <w:r>
              <w:rPr>
                <w:b/>
              </w:rPr>
              <w:t xml:space="preserve">• Objective: </w:t>
            </w:r>
            <w:r>
              <w:t>Prevent irrelevant, low-impact, or highly volatile statistical noise from displacing critical model predictors within downstream Decision View interfaces.</w:t>
              <w:br/>
            </w:r>
            <w:r>
              <w:rPr>
                <w:b/>
              </w:rPr>
              <w:t xml:space="preserve">• Implementation Details: </w:t>
            </w:r>
            <w:r>
              <w:t>Expand the metadata ingestion schema to accept authentic model coefficients or empirical feature importances (e.g., SHAP values, Gini importances, or Permutation importances captured during the training cycle). These raw predictor weights will serve as a continuous prioritization filter to rank drift signals, ensuring structural shifts in high-impact features (such as income or DTI) are surfaced with the highest urgency.</w:t>
            </w:r>
          </w:p>
        </w:tc>
      </w:tr>
    </w:tbl>
    <w:p>
      <w:pPr>
        <w:pStyle w:val="Heading3"/>
      </w:pPr>
      <w:r>
        <w:t>C. In-Context Learning (ICL) Few-Shot Prompts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Prompt Engineering Details</w:t>
              <w:br/>
            </w:r>
            <w:r>
              <w:rPr>
                <w:b/>
              </w:rPr>
              <w:t xml:space="preserve">• Objective: </w:t>
            </w:r>
            <w:r>
              <w:t>Refine automated LLM narrative summaries, bound evidentiary explanations, and recommended structural remediations.</w:t>
              <w:br/>
            </w:r>
            <w:r>
              <w:rPr>
                <w:b/>
              </w:rPr>
              <w:t xml:space="preserve">• Implementation Details: </w:t>
            </w:r>
            <w:r>
              <w:t>Embed 2-3 concrete, high-fidelity input/output pairing examples directly within the _CARD_SYSTEM prompt frameworks inside abt/llm/llm_prompts.py. Tailoring these contextual matrices to specific risk verticals (e.g., Credit Fraud or Customer Churn) effectively standardizes the model's domain-specific vocabulary and enforces formatting compliance across continuous report cycles.</w:t>
            </w:r>
          </w:p>
        </w:tc>
      </w:tr>
    </w:tbl>
    <w:p>
      <w:pPr>
        <w:pStyle w:val="Heading3"/>
      </w:pPr>
      <w:r>
        <w:t>D. Segment-Conditioned Metadata Ingestion</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Sub-Population Tracking Details</w:t>
              <w:br/>
            </w:r>
            <w:r>
              <w:rPr>
                <w:b/>
              </w:rPr>
              <w:t xml:space="preserve">• Objective: </w:t>
            </w:r>
            <w:r>
              <w:t>Enable highly targeted, segment-specific diagnostic recommendations and granular risk identification.</w:t>
              <w:br/>
            </w:r>
            <w:r>
              <w:rPr>
                <w:b/>
              </w:rPr>
              <w:t xml:space="preserve">• Implementation Details: </w:t>
            </w:r>
            <w:r>
              <w:t>Configure the metadata catalog ingestion framework to ingest column profiles grouped explicitly by categorical segmentation filters (e.g., geographic cohort, vintage segment, or internal risk_band). The comparison engine will then isolate sub-population drift trajectories (e.g., tracking a scenario where 'DTI escalated by 8% specifically within the High Risk segment'), triggering surgical remediations instead of generic, global model refit instructions.</w:t>
            </w:r>
          </w:p>
        </w:tc>
      </w:tr>
    </w:tbl>
    <w:p>
      <w:pPr>
        <w:spacing w:before="240"/>
      </w:pPr>
    </w:p>
    <w:p>
      <w:pPr>
        <w:pStyle w:val="Heading2"/>
      </w:pPr>
      <w:r>
        <w:t>2. Advanced Capabilities Unlocked by Raw Dataset Access</w:t>
      </w:r>
    </w:p>
    <w:p>
      <w:r>
        <w:t>Integrating the platform natively with raw enterprise data lakes, analytical data warehouses, or database structures unlocks advanced deep-dive analysis layers.</w:t>
      </w:r>
    </w:p>
    <w:p>
      <w:pPr>
        <w:pStyle w:val="Heading3"/>
      </w:pPr>
      <w:r>
        <w:t>A. Dynamic WoE Binning &amp; Information Value (IV) Calculations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Weight of Evidence Optimization Details</w:t>
              <w:br/>
            </w:r>
            <w:r>
              <w:rPr>
                <w:b/>
              </w:rPr>
              <w:t xml:space="preserve">• Objective: </w:t>
            </w:r>
            <w:r>
              <w:t>Automatically compute optimized feature binning updates and measure predictive restoration metrics.</w:t>
              <w:br/>
            </w:r>
            <w:r>
              <w:rPr>
                <w:b/>
              </w:rPr>
              <w:t xml:space="preserve">• Implementation Details: </w:t>
            </w:r>
            <w:r>
              <w:t>Analyze the underlying continuous raw data vectors to calculate updated Weight of Evidence (WoE) thresholds and mathematically quantify structural performance yields. The UI will render interactive comparative delta views showcasing the feature's Information Value (IV) pre- and post-rebinning (e.g., 'Refitting variable boundaries for income restores feature IV from 0.12 back to 0.28'), arming risk management and validation teams with audit-ready quantitative justifications.</w:t>
            </w:r>
          </w:p>
        </w:tc>
      </w:tr>
    </w:tbl>
    <w:p>
      <w:pPr>
        <w:pStyle w:val="Heading3"/>
      </w:pPr>
      <w:r>
        <w:t>B. Multivariate Drift Detection (Joint Distribution Shift)</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Multi-Variable Shift Analysis Details</w:t>
              <w:br/>
            </w:r>
            <w:r>
              <w:rPr>
                <w:b/>
              </w:rPr>
              <w:t xml:space="preserve">• Objective: </w:t>
            </w:r>
            <w:r>
              <w:t>Identify systemic correlation shifts across multi-column vectors that standard univariate PSI (Population Stability Index) audits routinely bypass.</w:t>
              <w:br/>
            </w:r>
            <w:r>
              <w:rPr>
                <w:b/>
              </w:rPr>
              <w:t xml:space="preserve">• Implementation Details: </w:t>
            </w:r>
            <w:r>
              <w:t>Execute multivariate calculations—including Mahalanobis Distance, Covariance matrix delta differentials, or the reconstruction loss metrics of localized Autoencoder models—directly on raw dataset states. This layer explicitly flags joint distribution flips where individual columns (e.g., age and income) present stable univariate distributions, but their interconnected relational correlation changes.</w:t>
            </w:r>
          </w:p>
        </w:tc>
      </w:tr>
    </w:tbl>
    <w:p>
      <w:pPr>
        <w:pStyle w:val="Heading3"/>
      </w:pPr>
      <w:r>
        <w:t>C. Real-Time Model Performance Back-Testing (Gini &amp; KS Decay)</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Performance Decay Auditing Details</w:t>
              <w:br/>
            </w:r>
            <w:r>
              <w:rPr>
                <w:b/>
              </w:rPr>
              <w:t xml:space="preserve">• Objective: </w:t>
            </w:r>
            <w:r>
              <w:t>Quantify exact predictive performance erosion over chronological dataset versions and production windows.</w:t>
              <w:br/>
            </w:r>
            <w:r>
              <w:rPr>
                <w:b/>
              </w:rPr>
              <w:t xml:space="preserve">• Implementation Details: </w:t>
            </w:r>
            <w:r>
              <w:t>Directly map raw operational features against actual performance ground-truth labels and deployed model probabilistic score arrays. Automatically calculate validation metrics—including ROC-AUC, Gini coefficients, and Kolmogorov-Smirnov (KS) indicators—to dynamically chart model decay trajectories across rolling production data updates.</w:t>
            </w:r>
          </w:p>
        </w:tc>
      </w:tr>
    </w:tbl>
    <w:p>
      <w:pPr>
        <w:pStyle w:val="Heading3"/>
      </w:pPr>
      <w:r>
        <w:t>D. Cross-Column Conditional Quality Rules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1A365D"/>
              <w:bottom w:val="none"/>
              <w:right w:val="none"/>
            </w:tcBorders>
          </w:tcPr>
          <w:p>
            <w:pPr>
              <w:spacing w:before="80" w:after="80"/>
              <w:ind w:left="144"/>
            </w:pPr>
            <w:r>
              <w:rPr>
                <w:b/>
                <w:color w:val="1A365D"/>
              </w:rPr>
              <w:t>Logical Consistency Constraint Details</w:t>
              <w:br/>
            </w:r>
            <w:r>
              <w:rPr>
                <w:b/>
              </w:rPr>
              <w:t xml:space="preserve">• Objective: </w:t>
            </w:r>
            <w:r>
              <w:t>Detect record-level logical inconsistencies and structural pipeline exceptions that single-column checks miss.</w:t>
              <w:br/>
            </w:r>
            <w:r>
              <w:rPr>
                <w:b/>
              </w:rPr>
              <w:t xml:space="preserve">• Implementation Details: </w:t>
            </w:r>
            <w:r>
              <w:t>Deploy and run cross-feature validation expressions across active dataset lines to enforce strict business rules (e.g., 'If loan_status is strictly equal to defaulted, then days_past_due must logically satisfy &gt; 90'). This validation system detects silent data corruption, system upstream schema updates, and missing records that univariate validation sweeps fail to trap.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