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Asset is governed by the Asset Store EULA; however, the following components are governed by the licenses indicated below: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Roboto Black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 2.0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January 2004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LiberationSans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LiberationSans OFL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1.1 2007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