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Diseño de la Solución</w:t>
      </w:r>
    </w:p>
    <w:p>
      <w:pPr>
        <w:spacing w:after="400"/>
        <w:jc w:val="center"/>
      </w:pPr>
      <w:r>
        <w:rPr>
          <w:rFonts w:ascii="Arial" w:cs="Arial" w:eastAsia="Arial" w:hAnsi="Arial"/>
          <w:color w:val="444444"/>
          <w:sz w:val="24"/>
          <w:szCs w:val="24"/>
        </w:rPr>
        <w:t xml:space="preserve">Arquitectura del Sistema de Control de Acceso Residencial - Los Robles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Arquitectura General en Capas</w:t>
      </w:r>
    </w:p>
    <w:p>
      <w:pPr>
        <w:spacing w:after="160"/>
      </w:pPr>
      <w:r>
        <w:rPr>
          <w:rFonts w:ascii="Arial" w:cs="Arial" w:eastAsia="Arial" w:hAnsi="Arial"/>
          <w:sz w:val="22"/>
          <w:szCs w:val="22"/>
        </w:rPr>
        <w:t xml:space="preserve">El backend (api-backend) está desarrollado en Spring Boot y organiza el código en capas siguiendo el patrón MVC, con una capa adicional de acceso a datos basada en el patrón DAO (implementado mediante Spring Data JPA Repositories). El frontend (app-frontend) consume la API a través de peticiones REST.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38761D" w:sz="12"/>
              <w:left w:val="single" w:color="38761D" w:sz="12"/>
              <w:bottom w:val="single" w:color="38761D" w:sz="12"/>
              <w:right w:val="single" w:color="38761D" w:sz="12"/>
            </w:tcBorders>
            <w:shd w:fill="D9EAD3"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CLIENTE / VISTA (View)</w:t>
            </w:r>
          </w:p>
          <w:p>
            <w:pPr>
              <w:spacing w:after="40"/>
              <w:jc w:val="center"/>
            </w:pPr>
            <w:r>
              <w:rPr>
                <w:rFonts w:ascii="Arial" w:cs="Arial" w:eastAsia="Arial" w:hAnsi="Arial"/>
                <w:b w:val="false"/>
                <w:bCs w:val="false"/>
                <w:sz w:val="19"/>
                <w:szCs w:val="19"/>
              </w:rPr>
              <w:t xml:space="preserve">app-frontend — React + Vite</w:t>
            </w:r>
          </w:p>
          <w:p>
            <w:pPr>
              <w:spacing w:after="0"/>
              <w:jc w:val="center"/>
            </w:pPr>
            <w:r>
              <w:rPr>
                <w:rFonts w:ascii="Arial" w:cs="Arial" w:eastAsia="Arial" w:hAnsi="Arial"/>
                <w:b w:val="false"/>
                <w:bCs w:val="false"/>
                <w:sz w:val="19"/>
                <w:szCs w:val="19"/>
              </w:rPr>
              <w:t xml:space="preserve">Componentes, páginas y consumo de la API REST</w:t>
            </w:r>
          </w:p>
        </w:tc>
      </w:tr>
    </w:tbl>
    <w:p>
      <w:pPr>
        <w:spacing w:after="20" w:before="40"/>
        <w:jc w:val="center"/>
      </w:pPr>
      <w:r>
        <w:rPr>
          <w:rFonts w:ascii="Arial" w:cs="Arial" w:eastAsia="Arial" w:hAnsi="Arial"/>
          <w:b/>
          <w:bCs/>
          <w:color w:val="555555"/>
          <w:sz w:val="26"/>
          <w:szCs w:val="26"/>
        </w:rPr>
        <w:t xml:space="preserve">▼</w:t>
      </w:r>
    </w:p>
    <w:p>
      <w:pPr>
        <w:spacing w:after="40"/>
        <w:jc w:val="center"/>
      </w:pPr>
      <w:r>
        <w:rPr>
          <w:rFonts w:ascii="Arial" w:cs="Arial" w:eastAsia="Arial" w:hAnsi="Arial"/>
          <w:i/>
          <w:iCs/>
          <w:color w:val="555555"/>
          <w:sz w:val="18"/>
          <w:szCs w:val="18"/>
        </w:rPr>
        <w:t xml:space="preserve">Petición HTTP (JSON) / Respuesta HTTP</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0000" w:sz="12"/>
              <w:left w:val="single" w:color="CC0000" w:sz="12"/>
              <w:bottom w:val="single" w:color="CC0000" w:sz="12"/>
              <w:right w:val="single" w:color="CC0000" w:sz="12"/>
            </w:tcBorders>
            <w:shd w:fill="F4CCCC"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CAPA DE SEGURIDAD</w:t>
            </w:r>
          </w:p>
          <w:p>
            <w:pPr>
              <w:spacing w:after="40"/>
              <w:jc w:val="center"/>
            </w:pPr>
            <w:r>
              <w:rPr>
                <w:rFonts w:ascii="Arial" w:cs="Arial" w:eastAsia="Arial" w:hAnsi="Arial"/>
                <w:b w:val="false"/>
                <w:bCs w:val="false"/>
                <w:sz w:val="19"/>
                <w:szCs w:val="19"/>
              </w:rPr>
              <w:t xml:space="preserve">AuthTokenFilter → valida el token JWT (JwtUtils)</w:t>
            </w:r>
          </w:p>
          <w:p>
            <w:pPr>
              <w:spacing w:after="0"/>
              <w:jc w:val="center"/>
            </w:pPr>
            <w:r>
              <w:rPr>
                <w:rFonts w:ascii="Arial" w:cs="Arial" w:eastAsia="Arial" w:hAnsi="Arial"/>
                <w:b w:val="false"/>
                <w:bCs w:val="false"/>
                <w:sz w:val="19"/>
                <w:szCs w:val="19"/>
              </w:rPr>
              <w:t xml:space="preserve">SecurityConfig → autoriza según el Rol del usuario</w:t>
            </w:r>
          </w:p>
        </w:tc>
      </w:tr>
    </w:tbl>
    <w:p>
      <w:pPr>
        <w:spacing w:after="20" w:before="40"/>
        <w:jc w:val="center"/>
      </w:pPr>
      <w:r>
        <w:rPr>
          <w:rFonts w:ascii="Arial" w:cs="Arial" w:eastAsia="Arial" w:hAnsi="Arial"/>
          <w:b/>
          <w:bCs/>
          <w:color w:val="555555"/>
          <w:sz w:val="26"/>
          <w:szCs w:val="26"/>
        </w:rPr>
        <w:t xml:space="preserve">▼</w:t>
      </w:r>
    </w:p>
    <w:p>
      <w:pPr>
        <w:spacing w:after="40"/>
        <w:jc w:val="center"/>
      </w:pPr>
      <w:r>
        <w:rPr>
          <w:rFonts w:ascii="Arial" w:cs="Arial" w:eastAsia="Arial" w:hAnsi="Arial"/>
          <w:i/>
          <w:iCs/>
          <w:color w:val="555555"/>
          <w:sz w:val="18"/>
          <w:szCs w:val="18"/>
        </w:rPr>
        <w:t xml:space="preserve">Petición autenticada</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2"/>
              <w:left w:val="single" w:color="2E75B6" w:sz="12"/>
              <w:bottom w:val="single" w:color="2E75B6" w:sz="12"/>
              <w:right w:val="single" w:color="2E75B6" w:sz="12"/>
            </w:tcBorders>
            <w:shd w:fill="CFE2F3"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CONTROLADOR (Controller)</w:t>
            </w:r>
          </w:p>
          <w:p>
            <w:pPr>
              <w:spacing w:after="40"/>
              <w:jc w:val="center"/>
            </w:pPr>
            <w:r>
              <w:rPr>
                <w:rFonts w:ascii="Arial" w:cs="Arial" w:eastAsia="Arial" w:hAnsi="Arial"/>
                <w:b w:val="false"/>
                <w:bCs w:val="false"/>
                <w:sz w:val="19"/>
                <w:szCs w:val="19"/>
              </w:rPr>
              <w:t xml:space="preserve">@RestController</w:t>
            </w:r>
          </w:p>
          <w:p>
            <w:pPr>
              <w:spacing w:after="40"/>
              <w:jc w:val="center"/>
            </w:pPr>
            <w:r>
              <w:rPr>
                <w:rFonts w:ascii="Arial" w:cs="Arial" w:eastAsia="Arial" w:hAnsi="Arial"/>
                <w:b w:val="false"/>
                <w:bCs w:val="false"/>
                <w:sz w:val="19"/>
                <w:szCs w:val="19"/>
              </w:rPr>
              <w:t xml:space="preserve">UsuarioController, InvitacionController, RegistroAccesoController,</w:t>
            </w:r>
          </w:p>
          <w:p>
            <w:pPr>
              <w:spacing w:after="0"/>
              <w:jc w:val="center"/>
            </w:pPr>
            <w:r>
              <w:rPr>
                <w:rFonts w:ascii="Arial" w:cs="Arial" w:eastAsia="Arial" w:hAnsi="Arial"/>
                <w:b w:val="false"/>
                <w:bCs w:val="false"/>
                <w:sz w:val="19"/>
                <w:szCs w:val="19"/>
              </w:rPr>
              <w:t xml:space="preserve">DepartamentoController, ReporteController, AuthController...</w:t>
            </w:r>
          </w:p>
        </w:tc>
      </w:tr>
    </w:tbl>
    <w:p>
      <w:pPr>
        <w:spacing w:after="20" w:before="40"/>
        <w:jc w:val="center"/>
      </w:pPr>
      <w:r>
        <w:rPr>
          <w:rFonts w:ascii="Arial" w:cs="Arial" w:eastAsia="Arial" w:hAnsi="Arial"/>
          <w:b/>
          <w:bCs/>
          <w:color w:val="555555"/>
          <w:sz w:val="26"/>
          <w:szCs w:val="26"/>
        </w:rPr>
        <w:t xml:space="preserve">▼</w:t>
      </w:r>
    </w:p>
    <w:p>
      <w:pPr>
        <w:spacing w:after="40"/>
        <w:jc w:val="center"/>
      </w:pPr>
      <w:r>
        <w:rPr>
          <w:rFonts w:ascii="Arial" w:cs="Arial" w:eastAsia="Arial" w:hAnsi="Arial"/>
          <w:i/>
          <w:iCs/>
          <w:color w:val="555555"/>
          <w:sz w:val="18"/>
          <w:szCs w:val="18"/>
        </w:rPr>
        <w:t xml:space="preserve">Delega la lógica de negocio</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F9000" w:sz="12"/>
              <w:left w:val="single" w:color="BF9000" w:sz="12"/>
              <w:bottom w:val="single" w:color="BF9000" w:sz="12"/>
              <w:right w:val="single" w:color="BF9000" w:sz="12"/>
            </w:tcBorders>
            <w:shd w:fill="FFF2CC"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SERVICIO (Service)</w:t>
            </w:r>
          </w:p>
          <w:p>
            <w:pPr>
              <w:spacing w:after="40"/>
              <w:jc w:val="center"/>
            </w:pPr>
            <w:r>
              <w:rPr>
                <w:rFonts w:ascii="Arial" w:cs="Arial" w:eastAsia="Arial" w:hAnsi="Arial"/>
                <w:b w:val="false"/>
                <w:bCs w:val="false"/>
                <w:sz w:val="19"/>
                <w:szCs w:val="19"/>
              </w:rPr>
              <w:t xml:space="preserve">Reglas de negocio</w:t>
            </w:r>
          </w:p>
          <w:p>
            <w:pPr>
              <w:spacing w:after="40"/>
              <w:jc w:val="center"/>
            </w:pPr>
            <w:r>
              <w:rPr>
                <w:rFonts w:ascii="Arial" w:cs="Arial" w:eastAsia="Arial" w:hAnsi="Arial"/>
                <w:b w:val="false"/>
                <w:bCs w:val="false"/>
                <w:sz w:val="19"/>
                <w:szCs w:val="19"/>
              </w:rPr>
              <w:t xml:space="preserve">UsuarioService, InvitacionService, RegistroAccesoService,</w:t>
            </w:r>
          </w:p>
          <w:p>
            <w:pPr>
              <w:spacing w:after="0"/>
              <w:jc w:val="center"/>
            </w:pPr>
            <w:r>
              <w:rPr>
                <w:rFonts w:ascii="Arial" w:cs="Arial" w:eastAsia="Arial" w:hAnsi="Arial"/>
                <w:b w:val="false"/>
                <w:bCs w:val="false"/>
                <w:sz w:val="19"/>
                <w:szCs w:val="19"/>
              </w:rPr>
              <w:t xml:space="preserve">DashboardService, ReporteService...</w:t>
            </w:r>
          </w:p>
        </w:tc>
      </w:tr>
    </w:tbl>
    <w:p>
      <w:pPr>
        <w:spacing w:after="20" w:before="40"/>
        <w:jc w:val="center"/>
      </w:pPr>
      <w:r>
        <w:rPr>
          <w:rFonts w:ascii="Arial" w:cs="Arial" w:eastAsia="Arial" w:hAnsi="Arial"/>
          <w:b/>
          <w:bCs/>
          <w:color w:val="555555"/>
          <w:sz w:val="26"/>
          <w:szCs w:val="26"/>
        </w:rPr>
        <w:t xml:space="preserve">▼</w:t>
      </w:r>
    </w:p>
    <w:p>
      <w:pPr>
        <w:spacing w:after="40"/>
        <w:jc w:val="center"/>
      </w:pPr>
      <w:r>
        <w:rPr>
          <w:rFonts w:ascii="Arial" w:cs="Arial" w:eastAsia="Arial" w:hAnsi="Arial"/>
          <w:i/>
          <w:iCs/>
          <w:color w:val="555555"/>
          <w:sz w:val="18"/>
          <w:szCs w:val="18"/>
        </w:rPr>
        <w:t xml:space="preserve">Usa interfaces de acceso a datos (Inversión de Dependencia)</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674EA7" w:sz="12"/>
              <w:left w:val="single" w:color="674EA7" w:sz="12"/>
              <w:bottom w:val="single" w:color="674EA7" w:sz="12"/>
              <w:right w:val="single" w:color="674EA7" w:sz="12"/>
            </w:tcBorders>
            <w:shd w:fill="D9D2E9"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DAO / REPOSITORIO (DAO Pattern)</w:t>
            </w:r>
          </w:p>
          <w:p>
            <w:pPr>
              <w:spacing w:after="40"/>
              <w:jc w:val="center"/>
            </w:pPr>
            <w:r>
              <w:rPr>
                <w:rFonts w:ascii="Arial" w:cs="Arial" w:eastAsia="Arial" w:hAnsi="Arial"/>
                <w:b w:val="false"/>
                <w:bCs w:val="false"/>
                <w:sz w:val="19"/>
                <w:szCs w:val="19"/>
              </w:rPr>
              <w:t xml:space="preserve">Interfaces que extienden JpaRepository&lt;T, ID&gt;</w:t>
            </w:r>
          </w:p>
          <w:p>
            <w:pPr>
              <w:spacing w:after="0"/>
              <w:jc w:val="center"/>
            </w:pPr>
            <w:r>
              <w:rPr>
                <w:rFonts w:ascii="Arial" w:cs="Arial" w:eastAsia="Arial" w:hAnsi="Arial"/>
                <w:b w:val="false"/>
                <w:bCs w:val="false"/>
                <w:sz w:val="19"/>
                <w:szCs w:val="19"/>
              </w:rPr>
              <w:t xml:space="preserve">UsuarioRepository, InvitacionRepository, RegistroAccesoRepository...</w:t>
            </w:r>
          </w:p>
        </w:tc>
      </w:tr>
    </w:tbl>
    <w:p>
      <w:pPr>
        <w:spacing w:after="20" w:before="40"/>
        <w:jc w:val="center"/>
      </w:pPr>
      <w:r>
        <w:rPr>
          <w:rFonts w:ascii="Arial" w:cs="Arial" w:eastAsia="Arial" w:hAnsi="Arial"/>
          <w:b/>
          <w:bCs/>
          <w:color w:val="555555"/>
          <w:sz w:val="26"/>
          <w:szCs w:val="26"/>
        </w:rPr>
        <w:t xml:space="preserve">▼</w:t>
      </w:r>
    </w:p>
    <w:p>
      <w:pPr>
        <w:spacing w:after="40"/>
        <w:jc w:val="center"/>
      </w:pPr>
      <w:r>
        <w:rPr>
          <w:rFonts w:ascii="Arial" w:cs="Arial" w:eastAsia="Arial" w:hAnsi="Arial"/>
          <w:i/>
          <w:iCs/>
          <w:color w:val="555555"/>
          <w:sz w:val="18"/>
          <w:szCs w:val="18"/>
        </w:rPr>
        <w:t xml:space="preserve">Consultas SQL generadas automáticamente (Spring Data JPA)</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666666" w:sz="12"/>
              <w:left w:val="single" w:color="666666" w:sz="12"/>
              <w:bottom w:val="single" w:color="666666" w:sz="12"/>
              <w:right w:val="single" w:color="666666" w:sz="12"/>
            </w:tcBorders>
            <w:shd w:fill="E0E0E0"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BASE DE DATOS</w:t>
            </w:r>
          </w:p>
          <w:p>
            <w:pPr>
              <w:spacing w:after="0"/>
              <w:jc w:val="center"/>
            </w:pPr>
            <w:r>
              <w:rPr>
                <w:rFonts w:ascii="Arial" w:cs="Arial" w:eastAsia="Arial" w:hAnsi="Arial"/>
                <w:b w:val="false"/>
                <w:bCs w:val="false"/>
                <w:sz w:val="19"/>
                <w:szCs w:val="19"/>
              </w:rPr>
              <w:t xml:space="preserve">MySQL / PostgreSQL</w:t>
            </w:r>
          </w:p>
        </w:tc>
      </w:tr>
    </w:tbl>
    <w:p>
      <w:pPr>
        <w:spacing w:after="260" w:before="100"/>
        <w:jc w:val="center"/>
      </w:pPr>
      <w:r>
        <w:rPr>
          <w:rFonts w:ascii="Arial" w:cs="Arial" w:eastAsia="Arial" w:hAnsi="Arial"/>
          <w:i/>
          <w:iCs/>
          <w:color w:val="666666"/>
          <w:sz w:val="18"/>
          <w:szCs w:val="18"/>
        </w:rPr>
        <w:t xml:space="preserve">Figura 1. Arquitectura en capas del backend: Vista → Seguridad → Controlador → Servicio → DAO/Repositorio → Base de Datos.</w:t>
      </w:r>
    </w:p>
    <w:p>
      <w:pPr>
        <w:spacing w:after="160"/>
      </w:pPr>
      <w:r>
        <w:rPr>
          <w:rFonts w:ascii="Arial" w:cs="Arial" w:eastAsia="Arial" w:hAnsi="Arial"/>
          <w:i/>
          <w:iCs/>
          <w:sz w:val="22"/>
          <w:szCs w:val="22"/>
        </w:rPr>
        <w:t xml:space="preserve">El Modelo (paquete models) es transversal a las capas Controller, Service y Repository: representa las entidades del dominio (Usuario, Departamento, Invitacion, RegistroAcceso, Visitante, entre otras) y es utilizado por las tres capas para transportar y persistir la información.</w:t>
      </w:r>
    </w:p>
    <w:p>
      <w:pPr>
        <w:pStyle w:val="Heading1"/>
      </w:pPr>
      <w:r>
        <w:t xml:space="preserve">2. Patrón MVC (Modelo - Vista - Controlador)</w:t>
      </w:r>
    </w:p>
    <w:p>
      <w:pPr>
        <w:spacing w:after="160"/>
      </w:pPr>
      <w:r>
        <w:rPr>
          <w:rFonts w:ascii="Arial" w:cs="Arial" w:eastAsia="Arial" w:hAnsi="Arial"/>
          <w:sz w:val="22"/>
          <w:szCs w:val="22"/>
        </w:rPr>
        <w:t xml:space="preserve">El patrón MVC separa responsabilidades para facilitar el mantenimiento, las pruebas y la escalabilidad del sistema: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40"/>
        <w:gridCol w:w="2600"/>
        <w:gridCol w:w="1140"/>
        <w:gridCol w:w="2600"/>
      </w:tblGrid>
      <w:tr>
        <w:tc>
          <w:tcPr>
            <w:tcW w:type="dxa" w:w="2600"/>
            <w:tcBorders>
              <w:top w:val="single" w:color="38761D" w:sz="12"/>
              <w:left w:val="single" w:color="38761D" w:sz="12"/>
              <w:bottom w:val="single" w:color="38761D" w:sz="12"/>
              <w:right w:val="single" w:color="38761D" w:sz="12"/>
            </w:tcBorders>
            <w:shd w:fill="D9EAD3" w:val="clear"/>
            <w:tcMar>
              <w:top w:type="dxa" w:w="120"/>
              <w:left w:type="dxa" w:w="120"/>
              <w:bottom w:type="dxa" w:w="120"/>
              <w:right w:type="dxa" w:w="120"/>
            </w:tcMar>
            <w:vAlign w:val="center"/>
          </w:tcPr>
          <w:p>
            <w:pPr>
              <w:spacing w:after="30"/>
              <w:jc w:val="center"/>
            </w:pPr>
            <w:r>
              <w:rPr>
                <w:rFonts w:ascii="Arial" w:cs="Arial" w:eastAsia="Arial" w:hAnsi="Arial"/>
                <w:b/>
                <w:bCs/>
                <w:sz w:val="20"/>
                <w:szCs w:val="20"/>
              </w:rPr>
              <w:t xml:space="preserve">VISTA</w:t>
            </w:r>
          </w:p>
          <w:p>
            <w:pPr>
              <w:spacing w:after="30"/>
              <w:jc w:val="center"/>
            </w:pPr>
            <w:r>
              <w:rPr>
                <w:rFonts w:ascii="Arial" w:cs="Arial" w:eastAsia="Arial" w:hAnsi="Arial"/>
                <w:b w:val="false"/>
                <w:bCs w:val="false"/>
                <w:sz w:val="18"/>
                <w:szCs w:val="18"/>
              </w:rPr>
              <w:t xml:space="preserve">app-frontend (React)</w:t>
            </w:r>
          </w:p>
          <w:p>
            <w:pPr>
              <w:spacing w:after="30"/>
              <w:jc w:val="center"/>
            </w:pPr>
            <w:r>
              <w:rPr>
                <w:rFonts w:ascii="Arial" w:cs="Arial" w:eastAsia="Arial" w:hAnsi="Arial"/>
                <w:b w:val="false"/>
                <w:bCs w:val="false"/>
                <w:sz w:val="18"/>
                <w:szCs w:val="18"/>
              </w:rPr>
              <w:t xml:space="preserve">Presenta la información</w:t>
            </w:r>
          </w:p>
          <w:p>
            <w:pPr>
              <w:spacing w:after="30"/>
              <w:jc w:val="center"/>
            </w:pPr>
            <w:r>
              <w:rPr>
                <w:rFonts w:ascii="Arial" w:cs="Arial" w:eastAsia="Arial" w:hAnsi="Arial"/>
                <w:b w:val="false"/>
                <w:bCs w:val="false"/>
                <w:sz w:val="18"/>
                <w:szCs w:val="18"/>
              </w:rPr>
              <w:t xml:space="preserve">y captura las acciones</w:t>
            </w:r>
          </w:p>
          <w:p>
            <w:pPr>
              <w:spacing w:after="0"/>
              <w:jc w:val="center"/>
            </w:pPr>
            <w:r>
              <w:rPr>
                <w:rFonts w:ascii="Arial" w:cs="Arial" w:eastAsia="Arial" w:hAnsi="Arial"/>
                <w:b w:val="false"/>
                <w:bCs w:val="false"/>
                <w:sz w:val="18"/>
                <w:szCs w:val="18"/>
              </w:rPr>
              <w:t xml:space="preserve">del usuario</w:t>
            </w:r>
          </w:p>
        </w:tc>
        <w:tc>
          <w:tcPr>
            <w:tcW w:type="dxa" w:w="1140"/>
            <w:tcBorders>
              <w:top w:val="single" w:color="FFFFFF" w:sz="2"/>
              <w:left w:val="single" w:color="FFFFFF" w:sz="2"/>
              <w:bottom w:val="single" w:color="FFFFFF" w:sz="2"/>
              <w:right w:val="single" w:color="FFFFFF" w:sz="2"/>
            </w:tcBorders>
            <w:vAlign w:val="center"/>
          </w:tcPr>
          <w:p>
            <w:pPr>
              <w:jc w:val="center"/>
            </w:pPr>
            <w:r>
              <w:rPr>
                <w:b/>
                <w:bCs/>
                <w:color w:val="555555"/>
                <w:sz w:val="26"/>
                <w:szCs w:val="26"/>
              </w:rPr>
              <w:t xml:space="preserve">→</w:t>
            </w:r>
          </w:p>
        </w:tc>
        <w:tc>
          <w:tcPr>
            <w:tcW w:type="dxa" w:w="2600"/>
            <w:tcBorders>
              <w:top w:val="single" w:color="2E75B6" w:sz="12"/>
              <w:left w:val="single" w:color="2E75B6" w:sz="12"/>
              <w:bottom w:val="single" w:color="2E75B6" w:sz="12"/>
              <w:right w:val="single" w:color="2E75B6" w:sz="12"/>
            </w:tcBorders>
            <w:shd w:fill="CFE2F3" w:val="clear"/>
            <w:tcMar>
              <w:top w:type="dxa" w:w="120"/>
              <w:left w:type="dxa" w:w="120"/>
              <w:bottom w:type="dxa" w:w="120"/>
              <w:right w:type="dxa" w:w="120"/>
            </w:tcMar>
            <w:vAlign w:val="center"/>
          </w:tcPr>
          <w:p>
            <w:pPr>
              <w:spacing w:after="30"/>
              <w:jc w:val="center"/>
            </w:pPr>
            <w:r>
              <w:rPr>
                <w:rFonts w:ascii="Arial" w:cs="Arial" w:eastAsia="Arial" w:hAnsi="Arial"/>
                <w:b/>
                <w:bCs/>
                <w:sz w:val="20"/>
                <w:szCs w:val="20"/>
              </w:rPr>
              <w:t xml:space="preserve">CONTROLADOR</w:t>
            </w:r>
          </w:p>
          <w:p>
            <w:pPr>
              <w:spacing w:after="30"/>
              <w:jc w:val="center"/>
            </w:pPr>
            <w:r>
              <w:rPr>
                <w:rFonts w:ascii="Arial" w:cs="Arial" w:eastAsia="Arial" w:hAnsi="Arial"/>
                <w:b w:val="false"/>
                <w:bCs w:val="false"/>
                <w:sz w:val="18"/>
                <w:szCs w:val="18"/>
              </w:rPr>
              <w:t xml:space="preserve">@RestController</w:t>
            </w:r>
          </w:p>
          <w:p>
            <w:pPr>
              <w:spacing w:after="30"/>
              <w:jc w:val="center"/>
            </w:pPr>
            <w:r>
              <w:rPr>
                <w:rFonts w:ascii="Arial" w:cs="Arial" w:eastAsia="Arial" w:hAnsi="Arial"/>
                <w:b w:val="false"/>
                <w:bCs w:val="false"/>
                <w:sz w:val="18"/>
                <w:szCs w:val="18"/>
              </w:rPr>
              <w:t xml:space="preserve">Recibe la petición HTTP,</w:t>
            </w:r>
          </w:p>
          <w:p>
            <w:pPr>
              <w:spacing w:after="30"/>
              <w:jc w:val="center"/>
            </w:pPr>
            <w:r>
              <w:rPr>
                <w:rFonts w:ascii="Arial" w:cs="Arial" w:eastAsia="Arial" w:hAnsi="Arial"/>
                <w:b w:val="false"/>
                <w:bCs w:val="false"/>
                <w:sz w:val="18"/>
                <w:szCs w:val="18"/>
              </w:rPr>
              <w:t xml:space="preserve">la valida y delega en</w:t>
            </w:r>
          </w:p>
          <w:p>
            <w:pPr>
              <w:spacing w:after="0"/>
              <w:jc w:val="center"/>
            </w:pPr>
            <w:r>
              <w:rPr>
                <w:rFonts w:ascii="Arial" w:cs="Arial" w:eastAsia="Arial" w:hAnsi="Arial"/>
                <w:b w:val="false"/>
                <w:bCs w:val="false"/>
                <w:sz w:val="18"/>
                <w:szCs w:val="18"/>
              </w:rPr>
              <w:t xml:space="preserve">el Service correspondiente</w:t>
            </w:r>
          </w:p>
        </w:tc>
        <w:tc>
          <w:tcPr>
            <w:tcW w:type="dxa" w:w="1140"/>
            <w:tcBorders>
              <w:top w:val="single" w:color="FFFFFF" w:sz="2"/>
              <w:left w:val="single" w:color="FFFFFF" w:sz="2"/>
              <w:bottom w:val="single" w:color="FFFFFF" w:sz="2"/>
              <w:right w:val="single" w:color="FFFFFF" w:sz="2"/>
            </w:tcBorders>
            <w:vAlign w:val="center"/>
          </w:tcPr>
          <w:p>
            <w:pPr>
              <w:jc w:val="center"/>
            </w:pPr>
            <w:r>
              <w:rPr>
                <w:b/>
                <w:bCs/>
                <w:color w:val="555555"/>
                <w:sz w:val="26"/>
                <w:szCs w:val="26"/>
              </w:rPr>
              <w:t xml:space="preserve">→</w:t>
            </w:r>
          </w:p>
        </w:tc>
        <w:tc>
          <w:tcPr>
            <w:tcW w:type="dxa" w:w="2600"/>
            <w:tcBorders>
              <w:top w:val="single" w:color="BF9000" w:sz="12"/>
              <w:left w:val="single" w:color="BF9000" w:sz="12"/>
              <w:bottom w:val="single" w:color="BF9000" w:sz="12"/>
              <w:right w:val="single" w:color="BF9000" w:sz="12"/>
            </w:tcBorders>
            <w:shd w:fill="FFF2CC" w:val="clear"/>
            <w:tcMar>
              <w:top w:type="dxa" w:w="120"/>
              <w:left w:type="dxa" w:w="120"/>
              <w:bottom w:type="dxa" w:w="120"/>
              <w:right w:type="dxa" w:w="120"/>
            </w:tcMar>
            <w:vAlign w:val="center"/>
          </w:tcPr>
          <w:p>
            <w:pPr>
              <w:spacing w:after="30"/>
              <w:jc w:val="center"/>
            </w:pPr>
            <w:r>
              <w:rPr>
                <w:rFonts w:ascii="Arial" w:cs="Arial" w:eastAsia="Arial" w:hAnsi="Arial"/>
                <w:b/>
                <w:bCs/>
                <w:sz w:val="20"/>
                <w:szCs w:val="20"/>
              </w:rPr>
              <w:t xml:space="preserve">MODELO</w:t>
            </w:r>
          </w:p>
          <w:p>
            <w:pPr>
              <w:spacing w:after="30"/>
              <w:jc w:val="center"/>
            </w:pPr>
            <w:r>
              <w:rPr>
                <w:rFonts w:ascii="Arial" w:cs="Arial" w:eastAsia="Arial" w:hAnsi="Arial"/>
                <w:b w:val="false"/>
                <w:bCs w:val="false"/>
                <w:sz w:val="18"/>
                <w:szCs w:val="18"/>
              </w:rPr>
              <w:t xml:space="preserve">Entidades (models) +</w:t>
            </w:r>
          </w:p>
          <w:p>
            <w:pPr>
              <w:spacing w:after="30"/>
              <w:jc w:val="center"/>
            </w:pPr>
            <w:r>
              <w:rPr>
                <w:rFonts w:ascii="Arial" w:cs="Arial" w:eastAsia="Arial" w:hAnsi="Arial"/>
                <w:b w:val="false"/>
                <w:bCs w:val="false"/>
                <w:sz w:val="18"/>
                <w:szCs w:val="18"/>
              </w:rPr>
              <w:t xml:space="preserve">Service + Repository</w:t>
            </w:r>
          </w:p>
          <w:p>
            <w:pPr>
              <w:spacing w:after="30"/>
              <w:jc w:val="center"/>
            </w:pPr>
            <w:r>
              <w:rPr>
                <w:rFonts w:ascii="Arial" w:cs="Arial" w:eastAsia="Arial" w:hAnsi="Arial"/>
                <w:b w:val="false"/>
                <w:bCs w:val="false"/>
                <w:sz w:val="18"/>
                <w:szCs w:val="18"/>
              </w:rPr>
              <w:t xml:space="preserve">Contiene los datos y</w:t>
            </w:r>
          </w:p>
          <w:p>
            <w:pPr>
              <w:spacing w:after="0"/>
              <w:jc w:val="center"/>
            </w:pPr>
            <w:r>
              <w:rPr>
                <w:rFonts w:ascii="Arial" w:cs="Arial" w:eastAsia="Arial" w:hAnsi="Arial"/>
                <w:b w:val="false"/>
                <w:bCs w:val="false"/>
                <w:sz w:val="18"/>
                <w:szCs w:val="18"/>
              </w:rPr>
              <w:t xml:space="preserve">la lógica de negocio</w:t>
            </w:r>
          </w:p>
        </w:tc>
      </w:tr>
    </w:tbl>
    <w:p>
      <w:pPr>
        <w:spacing w:after="260" w:before="100"/>
        <w:jc w:val="center"/>
      </w:pPr>
      <w:r>
        <w:rPr>
          <w:rFonts w:ascii="Arial" w:cs="Arial" w:eastAsia="Arial" w:hAnsi="Arial"/>
          <w:i/>
          <w:iCs/>
          <w:color w:val="666666"/>
          <w:sz w:val="18"/>
          <w:szCs w:val="18"/>
        </w:rPr>
        <w:t xml:space="preserve">Figura 2. Ciclo MVC: la Vista solicita una acción, el Controlador la procesa y actualiza el Modelo, el Modelo devuelve el resultado que la Vista renderiza.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rPr>
          <w:tblHeader/>
        </w:trPr>
        <w:tc>
          <w:tcPr>
            <w:tcW w:type="dxa" w:w="260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Componente MVC</w:t>
            </w:r>
          </w:p>
        </w:tc>
        <w:tc>
          <w:tcPr>
            <w:tcW w:type="dxa" w:w="360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Responsabilidad</w:t>
            </w:r>
          </w:p>
        </w:tc>
        <w:tc>
          <w:tcPr>
            <w:tcW w:type="dxa" w:w="388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Ejemplo en el proyecto</w:t>
            </w:r>
          </w:p>
        </w:tc>
      </w:tr>
      <w:tr>
        <w:tc>
          <w:tcPr>
            <w:tcW w:type="dxa" w:w="26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Modelo</w:t>
            </w:r>
          </w:p>
        </w:tc>
        <w:tc>
          <w:tcPr>
            <w:tcW w:type="dxa" w:w="36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Representa los datos y las reglas del dominio</w:t>
            </w:r>
          </w:p>
        </w:tc>
        <w:tc>
          <w:tcPr>
            <w:tcW w:type="dxa" w:w="388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Usuario.java, Invitacion.java, RegistroAcceso.java (paquete models)</w:t>
            </w:r>
          </w:p>
        </w:tc>
      </w:tr>
      <w:tr>
        <w:tc>
          <w:tcPr>
            <w:tcW w:type="dxa" w:w="260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Vista</w:t>
            </w:r>
          </w:p>
        </w:tc>
        <w:tc>
          <w:tcPr>
            <w:tcW w:type="dxa" w:w="360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Presenta la información al usuario final</w:t>
            </w:r>
          </w:p>
        </w:tc>
        <w:tc>
          <w:tcPr>
            <w:tcW w:type="dxa" w:w="388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Componentes y páginas de app-frontend (React)</w:t>
            </w:r>
          </w:p>
        </w:tc>
      </w:tr>
      <w:tr>
        <w:tc>
          <w:tcPr>
            <w:tcW w:type="dxa" w:w="26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Controlador</w:t>
            </w:r>
          </w:p>
        </w:tc>
        <w:tc>
          <w:tcPr>
            <w:tcW w:type="dxa" w:w="36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Recibe peticiones HTTP, valida y coordina la respuesta</w:t>
            </w:r>
          </w:p>
        </w:tc>
        <w:tc>
          <w:tcPr>
            <w:tcW w:type="dxa" w:w="388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UsuarioController.java, InvitacionController.java (paquete controllers)</w:t>
            </w:r>
          </w:p>
        </w:tc>
      </w:tr>
    </w:tbl>
    <w:p>
      <w:pPr>
        <w:pStyle w:val="Heading1"/>
      </w:pPr>
      <w:r>
        <w:t xml:space="preserve">3. Patrón DAO (Data Access Object)</w:t>
      </w:r>
    </w:p>
    <w:p>
      <w:pPr>
        <w:spacing w:after="160"/>
      </w:pPr>
      <w:r>
        <w:rPr>
          <w:rFonts w:ascii="Arial" w:cs="Arial" w:eastAsia="Arial" w:hAnsi="Arial"/>
          <w:sz w:val="22"/>
          <w:szCs w:val="22"/>
        </w:rPr>
        <w:t xml:space="preserve">El patrón DAO se aplica mediante interfaces de repositorio que extienden JpaRepository, separando la lógica de acceso a datos de la lógica de negocio. El Service depende de una abstracción (interfaz), no de una implementación concreta, aplicando así el principio de Inversión de Dependencia (SOLID).</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6500"/>
      </w:tblGrid>
      <w:tr>
        <w:tc>
          <w:tcPr>
            <w:tcW w:type="dxa" w:w="6500"/>
            <w:tcBorders>
              <w:top w:val="single" w:color="BF9000" w:sz="12"/>
              <w:left w:val="single" w:color="BF9000" w:sz="12"/>
              <w:bottom w:val="single" w:color="BF9000" w:sz="12"/>
              <w:right w:val="single" w:color="BF9000" w:sz="12"/>
            </w:tcBorders>
            <w:shd w:fill="FFF2CC"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SERVICE</w:t>
            </w:r>
          </w:p>
          <w:p>
            <w:pPr>
              <w:spacing w:after="40"/>
              <w:jc w:val="center"/>
            </w:pPr>
            <w:r>
              <w:rPr>
                <w:rFonts w:ascii="Arial" w:cs="Arial" w:eastAsia="Arial" w:hAnsi="Arial"/>
                <w:b w:val="false"/>
                <w:bCs w:val="false"/>
                <w:sz w:val="19"/>
                <w:szCs w:val="19"/>
              </w:rPr>
              <w:t xml:space="preserve">InvitacionService</w:t>
            </w:r>
          </w:p>
          <w:p>
            <w:pPr>
              <w:spacing w:after="0"/>
              <w:jc w:val="center"/>
            </w:pPr>
            <w:r>
              <w:rPr>
                <w:rFonts w:ascii="Arial" w:cs="Arial" w:eastAsia="Arial" w:hAnsi="Arial"/>
                <w:b w:val="false"/>
                <w:bCs w:val="false"/>
                <w:sz w:val="19"/>
                <w:szCs w:val="19"/>
              </w:rPr>
              <w:t xml:space="preserve">Depende de la interfaz InvitacionRepository</w:t>
            </w:r>
          </w:p>
        </w:tc>
      </w:tr>
    </w:tbl>
    <w:p>
      <w:pPr>
        <w:spacing w:after="20" w:before="40"/>
        <w:jc w:val="center"/>
      </w:pPr>
      <w:r>
        <w:rPr>
          <w:rFonts w:ascii="Arial" w:cs="Arial" w:eastAsia="Arial" w:hAnsi="Arial"/>
          <w:b/>
          <w:bCs/>
          <w:color w:val="555555"/>
          <w:sz w:val="26"/>
          <w:szCs w:val="26"/>
        </w:rPr>
        <w:t xml:space="preserve">▼</w:t>
      </w:r>
    </w:p>
    <w:p>
      <w:pPr>
        <w:spacing w:after="40"/>
        <w:jc w:val="center"/>
      </w:pPr>
      <w:r>
        <w:rPr>
          <w:rFonts w:ascii="Arial" w:cs="Arial" w:eastAsia="Arial" w:hAnsi="Arial"/>
          <w:i/>
          <w:iCs/>
          <w:color w:val="555555"/>
          <w:sz w:val="18"/>
          <w:szCs w:val="18"/>
        </w:rPr>
        <w:t xml:space="preserve">depende de la abstracción (interfaz)</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6500"/>
      </w:tblGrid>
      <w:tr>
        <w:tc>
          <w:tcPr>
            <w:tcW w:type="dxa" w:w="6500"/>
            <w:tcBorders>
              <w:top w:val="single" w:color="674EA7" w:sz="12"/>
              <w:left w:val="single" w:color="674EA7" w:sz="12"/>
              <w:bottom w:val="single" w:color="674EA7" w:sz="12"/>
              <w:right w:val="single" w:color="674EA7" w:sz="12"/>
            </w:tcBorders>
            <w:shd w:fill="D9D2E9"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DAO / REPOSITORY (interfaz)</w:t>
            </w:r>
          </w:p>
          <w:p>
            <w:pPr>
              <w:spacing w:after="40"/>
              <w:jc w:val="center"/>
            </w:pPr>
            <w:r>
              <w:rPr>
                <w:rFonts w:ascii="Arial" w:cs="Arial" w:eastAsia="Arial" w:hAnsi="Arial"/>
                <w:b w:val="false"/>
                <w:bCs w:val="false"/>
                <w:sz w:val="19"/>
                <w:szCs w:val="19"/>
              </w:rPr>
              <w:t xml:space="preserve">InvitacionRepository extends JpaRepository&lt;Invitacion, Integer&gt;</w:t>
            </w:r>
          </w:p>
          <w:p>
            <w:pPr>
              <w:spacing w:after="0"/>
              <w:jc w:val="center"/>
            </w:pPr>
            <w:r>
              <w:rPr>
                <w:rFonts w:ascii="Arial" w:cs="Arial" w:eastAsia="Arial" w:hAnsi="Arial"/>
                <w:b w:val="false"/>
                <w:bCs w:val="false"/>
                <w:sz w:val="19"/>
                <w:szCs w:val="19"/>
              </w:rPr>
              <w:t xml:space="preserve">Define métodos de acceso a datos sin implementarlos</w:t>
            </w:r>
          </w:p>
        </w:tc>
      </w:tr>
    </w:tbl>
    <w:p>
      <w:pPr>
        <w:spacing w:after="20" w:before="40"/>
        <w:jc w:val="center"/>
      </w:pPr>
      <w:r>
        <w:rPr>
          <w:rFonts w:ascii="Arial" w:cs="Arial" w:eastAsia="Arial" w:hAnsi="Arial"/>
          <w:b/>
          <w:bCs/>
          <w:color w:val="555555"/>
          <w:sz w:val="26"/>
          <w:szCs w:val="26"/>
        </w:rPr>
        <w:t xml:space="preserve">▼</w:t>
      </w:r>
    </w:p>
    <w:p>
      <w:pPr>
        <w:spacing w:after="40"/>
        <w:jc w:val="center"/>
      </w:pPr>
      <w:r>
        <w:rPr>
          <w:rFonts w:ascii="Arial" w:cs="Arial" w:eastAsia="Arial" w:hAnsi="Arial"/>
          <w:i/>
          <w:iCs/>
          <w:color w:val="555555"/>
          <w:sz w:val="18"/>
          <w:szCs w:val="18"/>
        </w:rPr>
        <w:t xml:space="preserve">implementada en tiempo de ejecución por</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6500"/>
      </w:tblGrid>
      <w:tr>
        <w:tc>
          <w:tcPr>
            <w:tcW w:type="dxa" w:w="6500"/>
            <w:tcBorders>
              <w:top w:val="single" w:color="2E75B6" w:sz="12"/>
              <w:left w:val="single" w:color="2E75B6" w:sz="12"/>
              <w:bottom w:val="single" w:color="2E75B6" w:sz="12"/>
              <w:right w:val="single" w:color="2E75B6" w:sz="12"/>
            </w:tcBorders>
            <w:shd w:fill="CFE2F3"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SPRING DATA JPA</w:t>
            </w:r>
          </w:p>
          <w:p>
            <w:pPr>
              <w:spacing w:after="40"/>
              <w:jc w:val="center"/>
            </w:pPr>
            <w:r>
              <w:rPr>
                <w:rFonts w:ascii="Arial" w:cs="Arial" w:eastAsia="Arial" w:hAnsi="Arial"/>
                <w:b w:val="false"/>
                <w:bCs w:val="false"/>
                <w:sz w:val="19"/>
                <w:szCs w:val="19"/>
              </w:rPr>
              <w:t xml:space="preserve">Genera automáticamente la implementación (proxy)</w:t>
            </w:r>
          </w:p>
          <w:p>
            <w:pPr>
              <w:spacing w:after="0"/>
              <w:jc w:val="center"/>
            </w:pPr>
            <w:r>
              <w:rPr>
                <w:rFonts w:ascii="Arial" w:cs="Arial" w:eastAsia="Arial" w:hAnsi="Arial"/>
                <w:b w:val="false"/>
                <w:bCs w:val="false"/>
                <w:sz w:val="19"/>
                <w:szCs w:val="19"/>
              </w:rPr>
              <w:t xml:space="preserve">y traduce los métodos a consultas SQL/JPQL</w:t>
            </w:r>
          </w:p>
        </w:tc>
      </w:tr>
    </w:tbl>
    <w:p>
      <w:pPr>
        <w:spacing w:after="40" w:before="40"/>
        <w:jc w:val="center"/>
      </w:pPr>
      <w:r>
        <w:rPr>
          <w:rFonts w:ascii="Arial" w:cs="Arial" w:eastAsia="Arial" w:hAnsi="Arial"/>
          <w:b/>
          <w:bCs/>
          <w:color w:val="555555"/>
          <w:sz w:val="26"/>
          <w:szCs w:val="26"/>
        </w:rPr>
        <w:t xml:space="preserve">▼</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6500"/>
      </w:tblGrid>
      <w:tr>
        <w:tc>
          <w:tcPr>
            <w:tcW w:type="dxa" w:w="6500"/>
            <w:tcBorders>
              <w:top w:val="single" w:color="666666" w:sz="12"/>
              <w:left w:val="single" w:color="666666" w:sz="12"/>
              <w:bottom w:val="single" w:color="666666" w:sz="12"/>
              <w:right w:val="single" w:color="666666" w:sz="12"/>
            </w:tcBorders>
            <w:shd w:fill="E0E0E0"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BASE DE DATOS</w:t>
            </w:r>
          </w:p>
          <w:p>
            <w:pPr>
              <w:spacing w:after="0"/>
              <w:jc w:val="center"/>
            </w:pPr>
            <w:r>
              <w:rPr>
                <w:rFonts w:ascii="Arial" w:cs="Arial" w:eastAsia="Arial" w:hAnsi="Arial"/>
                <w:b w:val="false"/>
                <w:bCs w:val="false"/>
                <w:sz w:val="19"/>
                <w:szCs w:val="19"/>
              </w:rPr>
              <w:t xml:space="preserve">Tablas: usuario, invitacion, registro_acceso, departamento...</w:t>
            </w:r>
          </w:p>
        </w:tc>
      </w:tr>
    </w:tbl>
    <w:p>
      <w:pPr>
        <w:spacing w:after="260" w:before="100"/>
        <w:jc w:val="center"/>
      </w:pPr>
      <w:r>
        <w:rPr>
          <w:rFonts w:ascii="Arial" w:cs="Arial" w:eastAsia="Arial" w:hAnsi="Arial"/>
          <w:i/>
          <w:iCs/>
          <w:color w:val="666666"/>
          <w:sz w:val="18"/>
          <w:szCs w:val="18"/>
        </w:rPr>
        <w:t xml:space="preserve">Figura 3. Patrón DAO: el Service consume la abstracción InvitacionRepository; Spring Data JPA provee la implementación concreta.</w:t>
      </w:r>
    </w:p>
    <w:p>
      <w:pPr>
        <w:spacing w:after="160"/>
      </w:pPr>
      <w:r>
        <w:rPr>
          <w:rFonts w:ascii="Arial" w:cs="Arial" w:eastAsia="Arial" w:hAnsi="Arial"/>
          <w:sz w:val="22"/>
          <w:szCs w:val="22"/>
        </w:rPr>
        <w:t xml:space="preserve">Cada entidad del dominio cuenta con su propio repositorio (UsuarioRepository, RolRepository, DepartamentoRepository, VisitanteRepository, InvitacionRepository, RegistroAccesoRepository, ObjetoRegistradoRepository, EventoSeguridadRepository, DispositivoPushRepository), evitando un DAO genérico único y aplicando el principio de Segregación de Interfaces.</w:t>
      </w:r>
    </w:p>
    <w:p>
      <w:pPr>
        <w:pStyle w:val="Heading1"/>
      </w:pPr>
      <w:r>
        <w:t xml:space="preserve">4. Principios SOLID Aplicados</w:t>
      </w:r>
    </w:p>
    <w:p>
      <w:pPr>
        <w:spacing w:after="160"/>
      </w:pPr>
      <w:r>
        <w:rPr>
          <w:rFonts w:ascii="Arial" w:cs="Arial" w:eastAsia="Arial" w:hAnsi="Arial"/>
          <w:sz w:val="22"/>
          <w:szCs w:val="22"/>
        </w:rPr>
        <w:t xml:space="preserve">La arquitectura del backend aplica los cinco principios SOLID de la siguiente manera: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480"/>
      </w:tblGrid>
      <w:tr>
        <w:trPr>
          <w:tblHeader/>
        </w:trPr>
        <w:tc>
          <w:tcPr>
            <w:tcW w:type="dxa" w:w="200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Principio</w:t>
            </w:r>
          </w:p>
        </w:tc>
        <w:tc>
          <w:tcPr>
            <w:tcW w:type="dxa" w:w="360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Definición</w:t>
            </w:r>
          </w:p>
        </w:tc>
        <w:tc>
          <w:tcPr>
            <w:tcW w:type="dxa" w:w="448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Aplicación en el proyecto</w:t>
            </w:r>
          </w:p>
        </w:tc>
      </w:tr>
      <w:tr>
        <w:tc>
          <w:tcPr>
            <w:tcW w:type="dxa" w:w="20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S — Responsabilidad
Única</w:t>
            </w:r>
          </w:p>
        </w:tc>
        <w:tc>
          <w:tcPr>
            <w:tcW w:type="dxa" w:w="36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Una clase debe tener una sola razón para cambiar</w:t>
            </w:r>
          </w:p>
        </w:tc>
        <w:tc>
          <w:tcPr>
            <w:tcW w:type="dxa" w:w="448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InvitacionController solo expone endpoints; InvitacionService solo contiene reglas de negocio; InvitacionRepository solo accede a datos</w:t>
            </w:r>
          </w:p>
        </w:tc>
      </w:tr>
      <w:tr>
        <w:tc>
          <w:tcPr>
            <w:tcW w:type="dxa" w:w="200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O — Abierto/
Cerrado</w:t>
            </w:r>
          </w:p>
        </w:tc>
        <w:tc>
          <w:tcPr>
            <w:tcW w:type="dxa" w:w="360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Abierto a extensión, cerrado a modificación</w:t>
            </w:r>
          </w:p>
        </w:tc>
        <w:tc>
          <w:tcPr>
            <w:tcW w:type="dxa" w:w="448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GlobalExceptionHandler permite agregar nuevos @ExceptionHandler sin modificar los controladores existentes</w:t>
            </w:r>
          </w:p>
        </w:tc>
      </w:tr>
      <w:tr>
        <w:tc>
          <w:tcPr>
            <w:tcW w:type="dxa" w:w="20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L — Sustitución
de Liskov</w:t>
            </w:r>
          </w:p>
        </w:tc>
        <w:tc>
          <w:tcPr>
            <w:tcW w:type="dxa" w:w="36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Un subtipo debe poder sustituir a su tipo base sin alterar el comportamiento esperado</w:t>
            </w:r>
          </w:p>
        </w:tc>
        <w:tc>
          <w:tcPr>
            <w:tcW w:type="dxa" w:w="448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UserDetailsServiceImpl implementa la interfaz UserDetailsService de Spring Security respetando su contrato</w:t>
            </w:r>
          </w:p>
        </w:tc>
      </w:tr>
      <w:tr>
        <w:tc>
          <w:tcPr>
            <w:tcW w:type="dxa" w:w="200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I — Segregación
de Interfaces</w:t>
            </w:r>
          </w:p>
        </w:tc>
        <w:tc>
          <w:tcPr>
            <w:tcW w:type="dxa" w:w="360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Preferir interfaces específicas antes que una interfaz general</w:t>
            </w:r>
          </w:p>
        </w:tc>
        <w:tc>
          <w:tcPr>
            <w:tcW w:type="dxa" w:w="448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Un repositorio por entidad (UsuarioRepository, RolRepository, DepartamentoRepository...) en lugar de un DAO genérico único</w:t>
            </w:r>
          </w:p>
        </w:tc>
      </w:tr>
      <w:tr>
        <w:tc>
          <w:tcPr>
            <w:tcW w:type="dxa" w:w="20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D — Inversión
de Dependencias</w:t>
            </w:r>
          </w:p>
        </w:tc>
        <w:tc>
          <w:tcPr>
            <w:tcW w:type="dxa" w:w="36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Depender de abstracciones, no de implementaciones concretas</w:t>
            </w:r>
          </w:p>
        </w:tc>
        <w:tc>
          <w:tcPr>
            <w:tcW w:type="dxa" w:w="448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Los Service dependen de la interfaz *Repository inyectada por Spring, no de una implementación concreta de acceso a datos</w:t>
            </w:r>
          </w:p>
        </w:tc>
      </w:tr>
    </w:tbl>
    <w:p>
      <w:pPr>
        <w:pStyle w:val="Heading1"/>
      </w:pPr>
      <w:r>
        <w:t xml:space="preserve">5. Seguridad: Autenticación y Autorización con JWT</w:t>
      </w:r>
    </w:p>
    <w:p>
      <w:pPr>
        <w:spacing w:after="160"/>
      </w:pPr>
      <w:r>
        <w:rPr>
          <w:rFonts w:ascii="Arial" w:cs="Arial" w:eastAsia="Arial" w:hAnsi="Arial"/>
          <w:sz w:val="22"/>
          <w:szCs w:val="22"/>
        </w:rPr>
        <w:t xml:space="preserve">El acceso a la API se protege mediante autenticación basada en tokens JWT (JSON Web Token), contraseñas cifradas y control de acceso por roles.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38761D" w:sz="12"/>
              <w:left w:val="single" w:color="38761D" w:sz="12"/>
              <w:bottom w:val="single" w:color="38761D" w:sz="12"/>
              <w:right w:val="single" w:color="38761D" w:sz="12"/>
            </w:tcBorders>
            <w:shd w:fill="D9EAD3"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1. Cliente envía credenciales</w:t>
            </w:r>
          </w:p>
          <w:p>
            <w:pPr>
              <w:spacing w:after="0"/>
              <w:jc w:val="center"/>
            </w:pPr>
            <w:r>
              <w:rPr>
                <w:rFonts w:ascii="Arial" w:cs="Arial" w:eastAsia="Arial" w:hAnsi="Arial"/>
                <w:b w:val="false"/>
                <w:bCs w:val="false"/>
                <w:sz w:val="19"/>
                <w:szCs w:val="19"/>
              </w:rPr>
              <w:t xml:space="preserve">POST /api/auth/login</w:t>
            </w:r>
          </w:p>
        </w:tc>
      </w:tr>
    </w:tbl>
    <w:p>
      <w:pPr>
        <w:spacing w:after="40" w:before="40"/>
        <w:jc w:val="center"/>
      </w:pPr>
      <w:r>
        <w:rPr>
          <w:rFonts w:ascii="Arial" w:cs="Arial" w:eastAsia="Arial" w:hAnsi="Arial"/>
          <w:b/>
          <w:bCs/>
          <w:color w:val="555555"/>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2"/>
              <w:left w:val="single" w:color="2E75B6" w:sz="12"/>
              <w:bottom w:val="single" w:color="2E75B6" w:sz="12"/>
              <w:right w:val="single" w:color="2E75B6" w:sz="12"/>
            </w:tcBorders>
            <w:shd w:fill="CFE2F3"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2. AuthController recibe la petición</w:t>
            </w:r>
          </w:p>
          <w:p>
            <w:pPr>
              <w:spacing w:after="0"/>
              <w:jc w:val="center"/>
            </w:pPr>
            <w:r>
              <w:rPr>
                <w:rFonts w:ascii="Arial" w:cs="Arial" w:eastAsia="Arial" w:hAnsi="Arial"/>
                <w:b w:val="false"/>
                <w:bCs w:val="false"/>
                <w:sz w:val="19"/>
                <w:szCs w:val="19"/>
              </w:rPr>
              <w:t xml:space="preserve">y la delega en AuthService</w:t>
            </w:r>
          </w:p>
        </w:tc>
      </w:tr>
    </w:tbl>
    <w:p>
      <w:pPr>
        <w:spacing w:after="40" w:before="40"/>
        <w:jc w:val="center"/>
      </w:pPr>
      <w:r>
        <w:rPr>
          <w:rFonts w:ascii="Arial" w:cs="Arial" w:eastAsia="Arial" w:hAnsi="Arial"/>
          <w:b/>
          <w:bCs/>
          <w:color w:val="555555"/>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F9000" w:sz="12"/>
              <w:left w:val="single" w:color="BF9000" w:sz="12"/>
              <w:bottom w:val="single" w:color="BF9000" w:sz="12"/>
              <w:right w:val="single" w:color="BF9000" w:sz="12"/>
            </w:tcBorders>
            <w:shd w:fill="FFF2CC"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3. AuthService valida usuario y contraseña</w:t>
            </w:r>
          </w:p>
          <w:p>
            <w:pPr>
              <w:spacing w:after="0"/>
              <w:jc w:val="center"/>
            </w:pPr>
            <w:r>
              <w:rPr>
                <w:rFonts w:ascii="Arial" w:cs="Arial" w:eastAsia="Arial" w:hAnsi="Arial"/>
                <w:b w:val="false"/>
                <w:bCs w:val="false"/>
                <w:sz w:val="19"/>
                <w:szCs w:val="19"/>
              </w:rPr>
              <w:t xml:space="preserve">UserDetailsServiceImpl + cifrado de contraseña (BCrypt)</w:t>
            </w:r>
          </w:p>
        </w:tc>
      </w:tr>
    </w:tbl>
    <w:p>
      <w:pPr>
        <w:spacing w:after="40" w:before="40"/>
        <w:jc w:val="center"/>
      </w:pPr>
      <w:r>
        <w:rPr>
          <w:rFonts w:ascii="Arial" w:cs="Arial" w:eastAsia="Arial" w:hAnsi="Arial"/>
          <w:b/>
          <w:bCs/>
          <w:color w:val="555555"/>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674EA7" w:sz="12"/>
              <w:left w:val="single" w:color="674EA7" w:sz="12"/>
              <w:bottom w:val="single" w:color="674EA7" w:sz="12"/>
              <w:right w:val="single" w:color="674EA7" w:sz="12"/>
            </w:tcBorders>
            <w:shd w:fill="D9D2E9"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4. JwtUtils genera un token firmado (JWT)</w:t>
            </w:r>
          </w:p>
          <w:p>
            <w:pPr>
              <w:spacing w:after="0"/>
              <w:jc w:val="center"/>
            </w:pPr>
            <w:r>
              <w:rPr>
                <w:rFonts w:ascii="Arial" w:cs="Arial" w:eastAsia="Arial" w:hAnsi="Arial"/>
                <w:b w:val="false"/>
                <w:bCs w:val="false"/>
                <w:sz w:val="19"/>
                <w:szCs w:val="19"/>
              </w:rPr>
              <w:t xml:space="preserve">con el usuario, rol y fecha de expiración</w:t>
            </w:r>
          </w:p>
        </w:tc>
      </w:tr>
    </w:tbl>
    <w:p>
      <w:pPr>
        <w:spacing w:after="20" w:before="40"/>
        <w:jc w:val="center"/>
      </w:pPr>
      <w:r>
        <w:rPr>
          <w:rFonts w:ascii="Arial" w:cs="Arial" w:eastAsia="Arial" w:hAnsi="Arial"/>
          <w:b/>
          <w:bCs/>
          <w:color w:val="555555"/>
          <w:sz w:val="26"/>
          <w:szCs w:val="26"/>
        </w:rPr>
        <w:t xml:space="preserve">▼</w:t>
      </w:r>
    </w:p>
    <w:p>
      <w:pPr>
        <w:spacing w:after="40"/>
        <w:jc w:val="center"/>
      </w:pPr>
      <w:r>
        <w:rPr>
          <w:rFonts w:ascii="Arial" w:cs="Arial" w:eastAsia="Arial" w:hAnsi="Arial"/>
          <w:i/>
          <w:iCs/>
          <w:color w:val="555555"/>
          <w:sz w:val="18"/>
          <w:szCs w:val="18"/>
        </w:rPr>
        <w:t xml:space="preserve">el cliente almacena el token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38761D" w:sz="12"/>
              <w:left w:val="single" w:color="38761D" w:sz="12"/>
              <w:bottom w:val="single" w:color="38761D" w:sz="12"/>
              <w:right w:val="single" w:color="38761D" w:sz="12"/>
            </w:tcBorders>
            <w:shd w:fill="D9EAD3"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5. Cliente envía el token en cada petición</w:t>
            </w:r>
          </w:p>
          <w:p>
            <w:pPr>
              <w:spacing w:after="0"/>
              <w:jc w:val="center"/>
            </w:pPr>
            <w:r>
              <w:rPr>
                <w:rFonts w:ascii="Arial" w:cs="Arial" w:eastAsia="Arial" w:hAnsi="Arial"/>
                <w:b w:val="false"/>
                <w:bCs w:val="false"/>
                <w:sz w:val="19"/>
                <w:szCs w:val="19"/>
              </w:rPr>
              <w:t xml:space="preserve">Header: Authorization: Bearer &lt;token&gt;</w:t>
            </w:r>
          </w:p>
        </w:tc>
      </w:tr>
    </w:tbl>
    <w:p>
      <w:pPr>
        <w:spacing w:after="40" w:before="40"/>
        <w:jc w:val="center"/>
      </w:pPr>
      <w:r>
        <w:rPr>
          <w:rFonts w:ascii="Arial" w:cs="Arial" w:eastAsia="Arial" w:hAnsi="Arial"/>
          <w:b/>
          <w:bCs/>
          <w:color w:val="555555"/>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0000" w:sz="12"/>
              <w:left w:val="single" w:color="CC0000" w:sz="12"/>
              <w:bottom w:val="single" w:color="CC0000" w:sz="12"/>
              <w:right w:val="single" w:color="CC0000" w:sz="12"/>
            </w:tcBorders>
            <w:shd w:fill="F4CCCC"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6. AuthTokenFilter intercepta la petición</w:t>
            </w:r>
          </w:p>
          <w:p>
            <w:pPr>
              <w:spacing w:after="0"/>
              <w:jc w:val="center"/>
            </w:pPr>
            <w:r>
              <w:rPr>
                <w:rFonts w:ascii="Arial" w:cs="Arial" w:eastAsia="Arial" w:hAnsi="Arial"/>
                <w:b w:val="false"/>
                <w:bCs w:val="false"/>
                <w:sz w:val="19"/>
                <w:szCs w:val="19"/>
              </w:rPr>
              <w:t xml:space="preserve">y valida el token con JwtUtils</w:t>
            </w:r>
          </w:p>
        </w:tc>
      </w:tr>
    </w:tbl>
    <w:p>
      <w:pPr>
        <w:spacing w:after="40" w:before="40"/>
        <w:jc w:val="center"/>
      </w:pPr>
      <w:r>
        <w:rPr>
          <w:rFonts w:ascii="Arial" w:cs="Arial" w:eastAsia="Arial" w:hAnsi="Arial"/>
          <w:b/>
          <w:bCs/>
          <w:color w:val="555555"/>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0000" w:sz="12"/>
              <w:left w:val="single" w:color="CC0000" w:sz="12"/>
              <w:bottom w:val="single" w:color="CC0000" w:sz="12"/>
              <w:right w:val="single" w:color="CC0000" w:sz="12"/>
            </w:tcBorders>
            <w:shd w:fill="F4CCCC"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7. SecurityConfig autoriza según el Rol</w:t>
            </w:r>
          </w:p>
          <w:p>
            <w:pPr>
              <w:spacing w:after="0"/>
              <w:jc w:val="center"/>
            </w:pPr>
            <w:r>
              <w:rPr>
                <w:rFonts w:ascii="Arial" w:cs="Arial" w:eastAsia="Arial" w:hAnsi="Arial"/>
                <w:b w:val="false"/>
                <w:bCs w:val="false"/>
                <w:sz w:val="19"/>
                <w:szCs w:val="19"/>
              </w:rPr>
              <w:t xml:space="preserve">(SecurityContext) y permite/deniega el acceso</w:t>
            </w:r>
          </w:p>
        </w:tc>
      </w:tr>
    </w:tbl>
    <w:p>
      <w:pPr>
        <w:spacing w:after="40" w:before="40"/>
        <w:jc w:val="center"/>
      </w:pPr>
      <w:r>
        <w:rPr>
          <w:rFonts w:ascii="Arial" w:cs="Arial" w:eastAsia="Arial" w:hAnsi="Arial"/>
          <w:b/>
          <w:bCs/>
          <w:color w:val="555555"/>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2"/>
              <w:left w:val="single" w:color="2E75B6" w:sz="12"/>
              <w:bottom w:val="single" w:color="2E75B6" w:sz="12"/>
              <w:right w:val="single" w:color="2E75B6" w:sz="12"/>
            </w:tcBorders>
            <w:shd w:fill="CFE2F3" w:val="clear"/>
            <w:tcMar>
              <w:top w:type="dxa" w:w="140"/>
              <w:left w:type="dxa" w:w="200"/>
              <w:bottom w:type="dxa" w:w="140"/>
              <w:right w:type="dxa" w:w="200"/>
            </w:tcMar>
            <w:vAlign w:val="center"/>
          </w:tcPr>
          <w:p>
            <w:pPr>
              <w:spacing w:after="40"/>
              <w:jc w:val="center"/>
            </w:pPr>
            <w:r>
              <w:rPr>
                <w:rFonts w:ascii="Arial" w:cs="Arial" w:eastAsia="Arial" w:hAnsi="Arial"/>
                <w:b/>
                <w:bCs/>
                <w:sz w:val="21"/>
                <w:szCs w:val="21"/>
              </w:rPr>
              <w:t xml:space="preserve">8. El Controlador procesa la petición</w:t>
            </w:r>
          </w:p>
          <w:p>
            <w:pPr>
              <w:spacing w:after="0"/>
              <w:jc w:val="center"/>
            </w:pPr>
            <w:r>
              <w:rPr>
                <w:rFonts w:ascii="Arial" w:cs="Arial" w:eastAsia="Arial" w:hAnsi="Arial"/>
                <w:b w:val="false"/>
                <w:bCs w:val="false"/>
                <w:sz w:val="19"/>
                <w:szCs w:val="19"/>
              </w:rPr>
              <w:t xml:space="preserve">ya autenticada y autorizada</w:t>
            </w:r>
          </w:p>
        </w:tc>
      </w:tr>
    </w:tbl>
    <w:p>
      <w:pPr>
        <w:spacing w:after="260" w:before="100"/>
        <w:jc w:val="center"/>
      </w:pPr>
      <w:r>
        <w:rPr>
          <w:rFonts w:ascii="Arial" w:cs="Arial" w:eastAsia="Arial" w:hAnsi="Arial"/>
          <w:i/>
          <w:iCs/>
          <w:color w:val="666666"/>
          <w:sz w:val="18"/>
          <w:szCs w:val="18"/>
        </w:rPr>
        <w:t xml:space="preserve">Figura 4. Flujo de autenticación y autorización basado en JWT.</w:t>
      </w:r>
    </w:p>
    <w:p>
      <w:pPr>
        <w:pStyle w:val="Heading2"/>
      </w:pPr>
      <w:r>
        <w:t xml:space="preserve">5.1 Otras medidas de seguridad</w:t>
      </w:r>
    </w:p>
    <w:p>
      <w:pPr>
        <w:pStyle w:val="ListParagraph"/>
        <w:numPr>
          <w:ilvl w:val="0"/>
          <w:numId w:val="2"/>
        </w:numPr>
        <w:spacing w:after="60"/>
      </w:pPr>
      <w:r>
        <w:rPr>
          <w:rFonts w:ascii="Arial" w:cs="Arial" w:eastAsia="Arial" w:hAnsi="Arial"/>
          <w:b w:val="false"/>
          <w:bCs w:val="false"/>
          <w:sz w:val="22"/>
          <w:szCs w:val="22"/>
        </w:rPr>
        <w:t xml:space="preserve">Contraseñas cifradas con BCrypt antes de almacenarlas en la base de datos (nunca en texto plano).</w:t>
      </w:r>
    </w:p>
    <w:p>
      <w:pPr>
        <w:pStyle w:val="ListParagraph"/>
        <w:numPr>
          <w:ilvl w:val="0"/>
          <w:numId w:val="2"/>
        </w:numPr>
        <w:spacing w:after="60"/>
      </w:pPr>
      <w:r>
        <w:rPr>
          <w:rFonts w:ascii="Arial" w:cs="Arial" w:eastAsia="Arial" w:hAnsi="Arial"/>
          <w:b w:val="false"/>
          <w:bCs w:val="false"/>
          <w:sz w:val="22"/>
          <w:szCs w:val="22"/>
        </w:rPr>
        <w:t xml:space="preserve">GlobalExceptionHandler centraliza el manejo de errores, evitando exponer información sensible (stack traces) al cliente.</w:t>
      </w:r>
    </w:p>
    <w:p>
      <w:pPr>
        <w:pStyle w:val="ListParagraph"/>
        <w:numPr>
          <w:ilvl w:val="0"/>
          <w:numId w:val="2"/>
        </w:numPr>
        <w:spacing w:after="60"/>
      </w:pPr>
      <w:r>
        <w:rPr>
          <w:rFonts w:ascii="Arial" w:cs="Arial" w:eastAsia="Arial" w:hAnsi="Arial"/>
          <w:b w:val="false"/>
          <w:bCs w:val="false"/>
          <w:sz w:val="22"/>
          <w:szCs w:val="22"/>
        </w:rPr>
        <w:t xml:space="preserve">SecurityConfig restringe el acceso a los endpoints según el Rol del usuario (residente, conserje, administrador).</w:t>
      </w:r>
    </w:p>
    <w:p>
      <w:pPr>
        <w:pStyle w:val="ListParagraph"/>
        <w:numPr>
          <w:ilvl w:val="0"/>
          <w:numId w:val="2"/>
        </w:numPr>
        <w:spacing w:after="60"/>
      </w:pPr>
      <w:r>
        <w:rPr>
          <w:rFonts w:ascii="Arial" w:cs="Arial" w:eastAsia="Arial" w:hAnsi="Arial"/>
          <w:b w:val="false"/>
          <w:bCs w:val="false"/>
          <w:sz w:val="22"/>
          <w:szCs w:val="22"/>
        </w:rPr>
        <w:t xml:space="preserve">WebConfig configura CORS para permitir el consumo de la API únicamente desde los orígenes autorizados.</w:t>
      </w:r>
    </w:p>
    <w:p>
      <w:pPr>
        <w:pStyle w:val="ListParagraph"/>
        <w:numPr>
          <w:ilvl w:val="0"/>
          <w:numId w:val="2"/>
        </w:numPr>
        <w:spacing w:after="60"/>
      </w:pPr>
      <w:r>
        <w:rPr>
          <w:rFonts w:ascii="Arial" w:cs="Arial" w:eastAsia="Arial" w:hAnsi="Arial"/>
          <w:b w:val="false"/>
          <w:bCs w:val="false"/>
          <w:sz w:val="22"/>
          <w:szCs w:val="22"/>
        </w:rPr>
        <w:t xml:space="preserve">Los códigos QR de invitación (codigoQrHash) se almacenan como hash y tienen fecha de expiración, evitando su reutilización o adivinación.</w:t>
      </w:r>
    </w:p>
    <w:p>
      <w:pPr>
        <w:pStyle w:val="Heading1"/>
      </w:pPr>
      <w:r>
        <w:t xml:space="preserve">6. Desarrollo Guiado por Pruebas (TDD)</w:t>
      </w:r>
    </w:p>
    <w:p>
      <w:pPr>
        <w:spacing w:after="160"/>
      </w:pPr>
      <w:r>
        <w:rPr>
          <w:rFonts w:ascii="Arial" w:cs="Arial" w:eastAsia="Arial" w:hAnsi="Arial"/>
          <w:sz w:val="22"/>
          <w:szCs w:val="22"/>
        </w:rPr>
        <w:t xml:space="preserve">El proyecto incorpora pruebas unitarias sobre la capa de Servicio siguiendo el ciclo TDD (Red - Green - Refactor), validando la lógica de negocio de forma aislada.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40"/>
        <w:gridCol w:w="2600"/>
        <w:gridCol w:w="1140"/>
        <w:gridCol w:w="2600"/>
      </w:tblGrid>
      <w:tr>
        <w:tc>
          <w:tcPr>
            <w:tcW w:type="dxa" w:w="2600"/>
            <w:tcBorders>
              <w:top w:val="single" w:color="CC0000" w:sz="12"/>
              <w:left w:val="single" w:color="CC0000" w:sz="12"/>
              <w:bottom w:val="single" w:color="CC0000" w:sz="12"/>
              <w:right w:val="single" w:color="CC0000" w:sz="12"/>
            </w:tcBorders>
            <w:shd w:fill="F4CCCC" w:val="clear"/>
            <w:tcMar>
              <w:top w:type="dxa" w:w="120"/>
              <w:left w:type="dxa" w:w="120"/>
              <w:bottom w:type="dxa" w:w="120"/>
              <w:right w:type="dxa" w:w="120"/>
            </w:tcMar>
            <w:vAlign w:val="center"/>
          </w:tcPr>
          <w:p>
            <w:pPr>
              <w:spacing w:after="30"/>
              <w:jc w:val="center"/>
            </w:pPr>
            <w:r>
              <w:rPr>
                <w:rFonts w:ascii="Arial" w:cs="Arial" w:eastAsia="Arial" w:hAnsi="Arial"/>
                <w:b/>
                <w:bCs/>
                <w:sz w:val="20"/>
                <w:szCs w:val="20"/>
              </w:rPr>
              <w:t xml:space="preserve">🔴 RED</w:t>
            </w:r>
          </w:p>
          <w:p>
            <w:pPr>
              <w:spacing w:after="30"/>
              <w:jc w:val="center"/>
            </w:pPr>
            <w:r>
              <w:rPr>
                <w:rFonts w:ascii="Arial" w:cs="Arial" w:eastAsia="Arial" w:hAnsi="Arial"/>
                <w:b w:val="false"/>
                <w:bCs w:val="false"/>
                <w:sz w:val="18"/>
                <w:szCs w:val="18"/>
              </w:rPr>
              <w:t xml:space="preserve">Escribir una prueba</w:t>
            </w:r>
          </w:p>
          <w:p>
            <w:pPr>
              <w:spacing w:after="30"/>
              <w:jc w:val="center"/>
            </w:pPr>
            <w:r>
              <w:rPr>
                <w:rFonts w:ascii="Arial" w:cs="Arial" w:eastAsia="Arial" w:hAnsi="Arial"/>
                <w:b w:val="false"/>
                <w:bCs w:val="false"/>
                <w:sz w:val="18"/>
                <w:szCs w:val="18"/>
              </w:rPr>
              <w:t xml:space="preserve">que falla</w:t>
            </w:r>
          </w:p>
          <w:p>
            <w:pPr>
              <w:spacing w:after="30"/>
              <w:jc w:val="center"/>
            </w:pPr>
            <w:r>
              <w:rPr>
                <w:rFonts w:ascii="Arial" w:cs="Arial" w:eastAsia="Arial" w:hAnsi="Arial"/>
                <w:b w:val="false"/>
                <w:bCs w:val="false"/>
                <w:sz w:val="18"/>
                <w:szCs w:val="18"/>
              </w:rPr>
              <w:t xml:space="preserve">(el comportamiento</w:t>
            </w:r>
          </w:p>
          <w:p>
            <w:pPr>
              <w:spacing w:after="0"/>
              <w:jc w:val="center"/>
            </w:pPr>
            <w:r>
              <w:rPr>
                <w:rFonts w:ascii="Arial" w:cs="Arial" w:eastAsia="Arial" w:hAnsi="Arial"/>
                <w:b w:val="false"/>
                <w:bCs w:val="false"/>
                <w:sz w:val="18"/>
                <w:szCs w:val="18"/>
              </w:rPr>
              <w:t xml:space="preserve">aún no existe)</w:t>
            </w:r>
          </w:p>
        </w:tc>
        <w:tc>
          <w:tcPr>
            <w:tcW w:type="dxa" w:w="1140"/>
            <w:tcBorders>
              <w:top w:val="single" w:color="FFFFFF" w:sz="2"/>
              <w:left w:val="single" w:color="FFFFFF" w:sz="2"/>
              <w:bottom w:val="single" w:color="FFFFFF" w:sz="2"/>
              <w:right w:val="single" w:color="FFFFFF" w:sz="2"/>
            </w:tcBorders>
            <w:vAlign w:val="center"/>
          </w:tcPr>
          <w:p>
            <w:pPr>
              <w:jc w:val="center"/>
            </w:pPr>
            <w:r>
              <w:rPr>
                <w:b/>
                <w:bCs/>
                <w:color w:val="555555"/>
                <w:sz w:val="26"/>
                <w:szCs w:val="26"/>
              </w:rPr>
              <w:t xml:space="preserve">→</w:t>
            </w:r>
          </w:p>
        </w:tc>
        <w:tc>
          <w:tcPr>
            <w:tcW w:type="dxa" w:w="2600"/>
            <w:tcBorders>
              <w:top w:val="single" w:color="38761D" w:sz="12"/>
              <w:left w:val="single" w:color="38761D" w:sz="12"/>
              <w:bottom w:val="single" w:color="38761D" w:sz="12"/>
              <w:right w:val="single" w:color="38761D" w:sz="12"/>
            </w:tcBorders>
            <w:shd w:fill="D9EAD3" w:val="clear"/>
            <w:tcMar>
              <w:top w:type="dxa" w:w="120"/>
              <w:left w:type="dxa" w:w="120"/>
              <w:bottom w:type="dxa" w:w="120"/>
              <w:right w:type="dxa" w:w="120"/>
            </w:tcMar>
            <w:vAlign w:val="center"/>
          </w:tcPr>
          <w:p>
            <w:pPr>
              <w:spacing w:after="30"/>
              <w:jc w:val="center"/>
            </w:pPr>
            <w:r>
              <w:rPr>
                <w:rFonts w:ascii="Arial" w:cs="Arial" w:eastAsia="Arial" w:hAnsi="Arial"/>
                <w:b/>
                <w:bCs/>
                <w:sz w:val="20"/>
                <w:szCs w:val="20"/>
              </w:rPr>
              <w:t xml:space="preserve">🟢 GREEN</w:t>
            </w:r>
          </w:p>
          <w:p>
            <w:pPr>
              <w:spacing w:after="30"/>
              <w:jc w:val="center"/>
            </w:pPr>
            <w:r>
              <w:rPr>
                <w:rFonts w:ascii="Arial" w:cs="Arial" w:eastAsia="Arial" w:hAnsi="Arial"/>
                <w:b w:val="false"/>
                <w:bCs w:val="false"/>
                <w:sz w:val="18"/>
                <w:szCs w:val="18"/>
              </w:rPr>
              <w:t xml:space="preserve">Escribir el código</w:t>
            </w:r>
          </w:p>
          <w:p>
            <w:pPr>
              <w:spacing w:after="30"/>
              <w:jc w:val="center"/>
            </w:pPr>
            <w:r>
              <w:rPr>
                <w:rFonts w:ascii="Arial" w:cs="Arial" w:eastAsia="Arial" w:hAnsi="Arial"/>
                <w:b w:val="false"/>
                <w:bCs w:val="false"/>
                <w:sz w:val="18"/>
                <w:szCs w:val="18"/>
              </w:rPr>
              <w:t xml:space="preserve">mínimo necesario</w:t>
            </w:r>
          </w:p>
          <w:p>
            <w:pPr>
              <w:spacing w:after="30"/>
              <w:jc w:val="center"/>
            </w:pPr>
            <w:r>
              <w:rPr>
                <w:rFonts w:ascii="Arial" w:cs="Arial" w:eastAsia="Arial" w:hAnsi="Arial"/>
                <w:b w:val="false"/>
                <w:bCs w:val="false"/>
                <w:sz w:val="18"/>
                <w:szCs w:val="18"/>
              </w:rPr>
              <w:t xml:space="preserve">para que la prueba</w:t>
            </w:r>
          </w:p>
          <w:p>
            <w:pPr>
              <w:spacing w:after="0"/>
              <w:jc w:val="center"/>
            </w:pPr>
            <w:r>
              <w:rPr>
                <w:rFonts w:ascii="Arial" w:cs="Arial" w:eastAsia="Arial" w:hAnsi="Arial"/>
                <w:b w:val="false"/>
                <w:bCs w:val="false"/>
                <w:sz w:val="18"/>
                <w:szCs w:val="18"/>
              </w:rPr>
              <w:t xml:space="preserve">pase</w:t>
            </w:r>
          </w:p>
        </w:tc>
        <w:tc>
          <w:tcPr>
            <w:tcW w:type="dxa" w:w="1140"/>
            <w:tcBorders>
              <w:top w:val="single" w:color="FFFFFF" w:sz="2"/>
              <w:left w:val="single" w:color="FFFFFF" w:sz="2"/>
              <w:bottom w:val="single" w:color="FFFFFF" w:sz="2"/>
              <w:right w:val="single" w:color="FFFFFF" w:sz="2"/>
            </w:tcBorders>
            <w:vAlign w:val="center"/>
          </w:tcPr>
          <w:p>
            <w:pPr>
              <w:jc w:val="center"/>
            </w:pPr>
            <w:r>
              <w:rPr>
                <w:b/>
                <w:bCs/>
                <w:color w:val="555555"/>
                <w:sz w:val="26"/>
                <w:szCs w:val="26"/>
              </w:rPr>
              <w:t xml:space="preserve">→</w:t>
            </w:r>
          </w:p>
        </w:tc>
        <w:tc>
          <w:tcPr>
            <w:tcW w:type="dxa" w:w="2600"/>
            <w:tcBorders>
              <w:top w:val="single" w:color="2E75B6" w:sz="12"/>
              <w:left w:val="single" w:color="2E75B6" w:sz="12"/>
              <w:bottom w:val="single" w:color="2E75B6" w:sz="12"/>
              <w:right w:val="single" w:color="2E75B6" w:sz="12"/>
            </w:tcBorders>
            <w:shd w:fill="CFE2F3" w:val="clear"/>
            <w:tcMar>
              <w:top w:type="dxa" w:w="120"/>
              <w:left w:type="dxa" w:w="120"/>
              <w:bottom w:type="dxa" w:w="120"/>
              <w:right w:type="dxa" w:w="120"/>
            </w:tcMar>
            <w:vAlign w:val="center"/>
          </w:tcPr>
          <w:p>
            <w:pPr>
              <w:spacing w:after="30"/>
              <w:jc w:val="center"/>
            </w:pPr>
            <w:r>
              <w:rPr>
                <w:rFonts w:ascii="Arial" w:cs="Arial" w:eastAsia="Arial" w:hAnsi="Arial"/>
                <w:b/>
                <w:bCs/>
                <w:sz w:val="20"/>
                <w:szCs w:val="20"/>
              </w:rPr>
              <w:t xml:space="preserve">🔵 REFACTOR</w:t>
            </w:r>
          </w:p>
          <w:p>
            <w:pPr>
              <w:spacing w:after="30"/>
              <w:jc w:val="center"/>
            </w:pPr>
            <w:r>
              <w:rPr>
                <w:rFonts w:ascii="Arial" w:cs="Arial" w:eastAsia="Arial" w:hAnsi="Arial"/>
                <w:b w:val="false"/>
                <w:bCs w:val="false"/>
                <w:sz w:val="18"/>
                <w:szCs w:val="18"/>
              </w:rPr>
              <w:t xml:space="preserve">Mejorar el diseño</w:t>
            </w:r>
          </w:p>
          <w:p>
            <w:pPr>
              <w:spacing w:after="30"/>
              <w:jc w:val="center"/>
            </w:pPr>
            <w:r>
              <w:rPr>
                <w:rFonts w:ascii="Arial" w:cs="Arial" w:eastAsia="Arial" w:hAnsi="Arial"/>
                <w:b w:val="false"/>
                <w:bCs w:val="false"/>
                <w:sz w:val="18"/>
                <w:szCs w:val="18"/>
              </w:rPr>
              <w:t xml:space="preserve">del código sin romper</w:t>
            </w:r>
          </w:p>
          <w:p>
            <w:pPr>
              <w:spacing w:after="30"/>
              <w:jc w:val="center"/>
            </w:pPr>
            <w:r>
              <w:rPr>
                <w:rFonts w:ascii="Arial" w:cs="Arial" w:eastAsia="Arial" w:hAnsi="Arial"/>
                <w:b w:val="false"/>
                <w:bCs w:val="false"/>
                <w:sz w:val="18"/>
                <w:szCs w:val="18"/>
              </w:rPr>
              <w:t xml:space="preserve">las pruebas ya</w:t>
            </w:r>
          </w:p>
          <w:p>
            <w:pPr>
              <w:spacing w:after="0"/>
              <w:jc w:val="center"/>
            </w:pPr>
            <w:r>
              <w:rPr>
                <w:rFonts w:ascii="Arial" w:cs="Arial" w:eastAsia="Arial" w:hAnsi="Arial"/>
                <w:b w:val="false"/>
                <w:bCs w:val="false"/>
                <w:sz w:val="18"/>
                <w:szCs w:val="18"/>
              </w:rPr>
              <w:t xml:space="preserve">existentes</w:t>
            </w:r>
          </w:p>
        </w:tc>
      </w:tr>
    </w:tbl>
    <w:p>
      <w:pPr>
        <w:spacing w:after="260" w:before="100"/>
        <w:jc w:val="center"/>
      </w:pPr>
      <w:r>
        <w:rPr>
          <w:rFonts w:ascii="Arial" w:cs="Arial" w:eastAsia="Arial" w:hAnsi="Arial"/>
          <w:i/>
          <w:iCs/>
          <w:color w:val="666666"/>
          <w:sz w:val="18"/>
          <w:szCs w:val="18"/>
        </w:rPr>
        <w:t xml:space="preserve">Figura 5. Ciclo TDD: Red → Green → Refactor, y se repite ante cada nuevo requisito.</w:t>
      </w:r>
    </w:p>
    <w:p>
      <w:pPr>
        <w:spacing w:after="160"/>
      </w:pPr>
      <w:r>
        <w:rPr>
          <w:rFonts w:ascii="Arial" w:cs="Arial" w:eastAsia="Arial" w:hAnsi="Arial"/>
          <w:i/>
          <w:iCs/>
          <w:sz w:val="22"/>
          <w:szCs w:val="22"/>
        </w:rPr>
        <w:t xml:space="preserve">El ciclo se repite de forma continua: al finalizar el Refactor, se vuelve a un nuevo estado Red con el siguiente caso de prueba.</w:t>
      </w:r>
    </w:p>
    <w:p>
      <w:pPr>
        <w:pStyle w:val="Heading2"/>
      </w:pPr>
      <w:r>
        <w:t xml:space="preserve">6.1 Pruebas existentes en el proyecto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Clase de prueba</w:t>
            </w:r>
          </w:p>
        </w:tc>
        <w:tc>
          <w:tcPr>
            <w:tcW w:type="dxa" w:w="280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Capa probada</w:t>
            </w:r>
          </w:p>
        </w:tc>
        <w:tc>
          <w:tcPr>
            <w:tcW w:type="dxa" w:w="4280"/>
            <w:tcBorders>
              <w:top w:val="single" w:color="2E75B6" w:sz="6"/>
              <w:left w:val="single" w:color="2E75B6" w:sz="6"/>
              <w:bottom w:val="single" w:color="2E75B6" w:sz="6"/>
              <w:right w:val="single" w:color="2E75B6" w:sz="6"/>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Qué valida</w:t>
            </w:r>
          </w:p>
        </w:tc>
      </w:tr>
      <w:tr>
        <w:tc>
          <w:tcPr>
            <w:tcW w:type="dxa" w:w="30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InvitacionServiceTest</w:t>
            </w:r>
          </w:p>
        </w:tc>
        <w:tc>
          <w:tcPr>
            <w:tcW w:type="dxa" w:w="28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InvitacionService</w:t>
            </w:r>
          </w:p>
        </w:tc>
        <w:tc>
          <w:tcPr>
            <w:tcW w:type="dxa" w:w="428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Reglas de negocio para la creación, validación y expiración de invitaciones</w:t>
            </w:r>
          </w:p>
        </w:tc>
      </w:tr>
      <w:tr>
        <w:tc>
          <w:tcPr>
            <w:tcW w:type="dxa" w:w="300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RegistroAccesoServiceTest</w:t>
            </w:r>
          </w:p>
        </w:tc>
        <w:tc>
          <w:tcPr>
            <w:tcW w:type="dxa" w:w="280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RegistroAccesoService</w:t>
            </w:r>
          </w:p>
        </w:tc>
        <w:tc>
          <w:tcPr>
            <w:tcW w:type="dxa" w:w="428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r>
              <w:rPr>
                <w:rFonts w:ascii="Arial" w:cs="Arial" w:eastAsia="Arial" w:hAnsi="Arial"/>
                <w:sz w:val="19"/>
                <w:szCs w:val="19"/>
              </w:rPr>
              <w:t xml:space="preserve">Reglas de negocio para el registro de ingreso y salida de visitantes</w:t>
            </w:r>
          </w:p>
        </w:tc>
      </w:tr>
      <w:tr>
        <w:tc>
          <w:tcPr>
            <w:tcW w:type="dxa" w:w="30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ApiBackendApplicationTests</w:t>
            </w:r>
          </w:p>
        </w:tc>
        <w:tc>
          <w:tcPr>
            <w:tcW w:type="dxa" w:w="280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Contexto de la aplicación</w:t>
            </w:r>
          </w:p>
        </w:tc>
        <w:tc>
          <w:tcPr>
            <w:tcW w:type="dxa" w:w="4280"/>
            <w:tcBorders>
              <w:top w:val="single" w:color="CCCCCC" w:sz="6"/>
              <w:left w:val="single" w:color="CCCCCC" w:sz="6"/>
              <w:bottom w:val="single" w:color="CCCCCC" w:sz="6"/>
              <w:right w:val="single" w:color="CCCCCC" w:sz="6"/>
            </w:tcBorders>
            <w:shd w:fill="F2F6FA" w:val="clear"/>
            <w:tcMar>
              <w:top w:type="dxa" w:w="90"/>
              <w:left w:type="dxa" w:w="120"/>
              <w:bottom w:type="dxa" w:w="90"/>
              <w:right w:type="dxa" w:w="120"/>
            </w:tcMar>
          </w:tcPr>
          <w:p>
            <w:r>
              <w:rPr>
                <w:rFonts w:ascii="Arial" w:cs="Arial" w:eastAsia="Arial" w:hAnsi="Arial"/>
                <w:sz w:val="19"/>
                <w:szCs w:val="19"/>
              </w:rPr>
              <w:t xml:space="preserve">Que el contexto de Spring Boot cargue correctamente</w:t>
            </w:r>
          </w:p>
        </w:tc>
      </w:tr>
    </w:tbl>
    <w:p>
      <w:pPr>
        <w:spacing w:after="160"/>
      </w:pPr>
      <w:r>
        <w:rPr>
          <w:rFonts w:ascii="Arial" w:cs="Arial" w:eastAsia="Arial" w:hAnsi="Arial"/>
          <w:sz w:val="22"/>
          <w:szCs w:val="22"/>
        </w:rPr>
        <w:t xml:space="preserve">Las pruebas se ejecutan sobre la capa Service de forma aislada (unitarias), lo que permite validar la lógica de negocio sin depender de la base de datos real, favoreciendo el diseño desacoplado impulsado por DAO y la Inversión de Dependencias (SOLID).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Sistema de Control de Acceso - Residencial Los Robles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75B6"/>
      <w:sz w:val="25"/>
      <w:szCs w:val="25"/>
    </w:rPr>
  </w:style>
  <w:style w:type="paragraph" w:styleId="Title">
    <w:name w:val="Title"/>
    <w:basedOn w:val="Normal"/>
    <w:next w:val="Normal"/>
    <w:qFormat/>
    <w:pPr>
      <w:spacing w:after="120"/>
      <w:jc w:val="center"/>
    </w:pPr>
    <w:rPr>
      <w:rFonts w:ascii="Arial" w:cs="Arial" w:eastAsia="Arial" w:hAnsi="Arial"/>
      <w:b/>
      <w:bCs/>
      <w:color w:val="1F4E79"/>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2026-07-02T23:03:08.394Z</dcterms:created>
  <dcterms:modified xsi:type="dcterms:W3CDTF">2026-07-02T23:03:08.395Z</dcterms:modified>
</cp:coreProperties>
</file>

<file path=docProps/custom.xml><?xml version="1.0" encoding="utf-8"?>
<Properties xmlns="http://schemas.openxmlformats.org/officeDocument/2006/custom-properties" xmlns:vt="http://schemas.openxmlformats.org/officeDocument/2006/docPropsVTypes"/>
</file>