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bCs/>
          <w:color w:val="1f3864"/>
          <w:sz w:val="30"/>
          <w:szCs w:val="30"/>
          <w:lang w:val="fr-FR"/>
        </w:rPr>
      </w:r>
      <w:r>
        <w:rPr>
          <w:b/>
          <w:bCs/>
          <w:color w:val="1f3864"/>
          <w:sz w:val="30"/>
          <w:szCs w:val="30"/>
          <w:lang w:val="fr-FR"/>
        </w:rPr>
        <w:t xml:space="preserve">Cahier des charges </w:t>
      </w:r>
      <w:r>
        <w:rPr>
          <w:b/>
          <w:bCs/>
          <w:color w:val="1f3864"/>
          <w:sz w:val="30"/>
          <w:szCs w:val="30"/>
          <w:lang w:val="fr-FR"/>
        </w:rPr>
        <w:t xml:space="preserve">:</w:t>
      </w:r>
      <w:r/>
    </w:p>
    <w:p>
      <w:pPr>
        <w:pBdr/>
        <w:spacing w:after="40"/>
        <w:ind/>
        <w:jc w:val="center"/>
        <w:rPr/>
      </w:pPr>
      <w:r>
        <w:rPr>
          <w:b/>
          <w:bCs/>
          <w:color w:val="2e5496"/>
          <w:sz w:val="22"/>
          <w:szCs w:val="22"/>
        </w:rPr>
        <w:t xml:space="preserve">Cas d'usage : Ville / Parking</w:t>
      </w:r>
      <w:r/>
    </w:p>
    <w:p>
      <w:pPr>
        <w:pBdr/>
        <w:spacing w:after="240"/>
        <w:ind/>
        <w:jc w:val="center"/>
        <w:rPr>
          <w:bCs/>
          <w:i/>
          <w:color w:val="595959"/>
          <w:sz w:val="18"/>
          <w:szCs w:val="18"/>
          <w:highlight w:val="none"/>
          <w:lang w:val="fr-FR"/>
        </w:rPr>
      </w:pPr>
      <w:r>
        <w:rPr>
          <w:i/>
          <w:iCs/>
          <w:color w:val="595959"/>
          <w:sz w:val="18"/>
          <w:szCs w:val="18"/>
          <w:lang w:val="fr-FR"/>
        </w:rPr>
        <w:t xml:space="preserve">IOT401 </w:t>
      </w:r>
      <w:r>
        <w:rPr>
          <w:i/>
          <w:iCs/>
          <w:color w:val="595959"/>
          <w:sz w:val="18"/>
          <w:szCs w:val="18"/>
        </w:rPr>
        <w:t xml:space="preserve"> École</w:t>
      </w:r>
      <w:r>
        <w:rPr>
          <w:i/>
          <w:iCs/>
          <w:color w:val="595959"/>
          <w:sz w:val="18"/>
          <w:szCs w:val="18"/>
          <w:lang w:val="fr-FR"/>
        </w:rPr>
        <w:t xml:space="preserve"> </w:t>
      </w:r>
      <w:r>
        <w:rPr>
          <w:i/>
          <w:iCs/>
          <w:color w:val="595959"/>
          <w:sz w:val="18"/>
          <w:szCs w:val="18"/>
        </w:rPr>
        <w:t xml:space="preserve">2600  </w:t>
      </w:r>
      <w:r>
        <w:rPr>
          <w:i/>
          <w:iCs/>
          <w:color w:val="595959"/>
          <w:sz w:val="18"/>
          <w:szCs w:val="18"/>
          <w:lang w:val="fr-FR"/>
        </w:rPr>
        <w:t xml:space="preserve">Axel Pineau Clovis Le Floc’h</w:t>
      </w:r>
      <w:r>
        <w:rPr>
          <w:bCs/>
          <w:i/>
          <w:color w:val="595959"/>
          <w:sz w:val="18"/>
          <w:szCs w:val="18"/>
          <w:highlight w:val="none"/>
          <w:lang w:val="fr-FR"/>
        </w:rPr>
      </w:r>
      <w:r>
        <w:rPr>
          <w:bCs/>
          <w:i/>
          <w:color w:val="595959"/>
          <w:sz w:val="18"/>
          <w:szCs w:val="18"/>
          <w:highlight w:val="none"/>
          <w:lang w:val="fr-FR"/>
        </w:rPr>
      </w:r>
    </w:p>
    <w:p w14:paraId="6D977D7F">
      <w:pPr>
        <w:pStyle w:val="892"/>
        <w:pBdr/>
        <w:spacing w:after="100" w:before="280"/>
        <w:ind w:firstLine="0" w:left="0"/>
        <w:jc w:val="left"/>
        <w:rPr>
          <w:color w:val="000000" w:themeColor="text1"/>
          <w:sz w:val="30"/>
          <w:szCs w:val="30"/>
          <w:u w:val="single"/>
        </w:rPr>
      </w:pPr>
      <w:r>
        <w:rPr>
          <w:b/>
          <w:bCs/>
          <w:color w:val="000000" w:themeColor="text1"/>
          <w:sz w:val="30"/>
          <w:szCs w:val="30"/>
          <w:highlight w:val="none"/>
          <w:u w:val="single"/>
          <w:lang w:val="fr-FR"/>
        </w:rPr>
      </w:r>
      <w:r>
        <w:rPr>
          <w:b/>
          <w:bCs/>
          <w:color w:val="1f3864"/>
          <w:sz w:val="26"/>
          <w:szCs w:val="26"/>
        </w:rPr>
        <w:t xml:space="preserve">1. Contexte et cas d'usage</w:t>
      </w:r>
      <w:r>
        <w:rPr>
          <w:color w:val="000000" w:themeColor="text1"/>
          <w:sz w:val="30"/>
          <w:szCs w:val="30"/>
          <w:u w:val="single"/>
        </w:rPr>
      </w:r>
      <w:r/>
    </w:p>
    <w:p w14:paraId="0AB43E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0F46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Scénario :</w:t>
      </w:r>
      <w:r>
        <w:rPr>
          <w:rFonts w:ascii="Times New Roman" w:hAnsi="Times New Roman" w:eastAsia="Times New Roman" w:cs="Times New Roman"/>
          <w:color w:val="000000"/>
          <w:sz w:val="24"/>
        </w:rPr>
        <w:t xml:space="preserve"> Notre ville possède deux parkings fermés d’une quarantaine de places, ainsi que 4 capteurs de fumée par parking et trois stations météo mesurant le vent, la température et l’humidité. Les données remontées par ces installations sont publiques pour les cit</w:t>
      </w:r>
      <w:r>
        <w:rPr>
          <w:rFonts w:ascii="Times New Roman" w:hAnsi="Times New Roman" w:eastAsia="Times New Roman" w:cs="Times New Roman"/>
          <w:color w:val="000000"/>
          <w:sz w:val="24"/>
        </w:rPr>
        <w:t xml:space="preserve">oyens, disponibles sur une application/un site web (tableau de bord). La ville possède également trois radars de vitesse et trois radars de feux rouges, à des fins privées et gouvernementales.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DDE39F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DB59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Priorité :</w:t>
      </w:r>
      <w:r>
        <w:rPr>
          <w:rFonts w:ascii="Times New Roman" w:hAnsi="Times New Roman" w:eastAsia="Times New Roman" w:cs="Times New Roman"/>
          <w:color w:val="000000"/>
          <w:sz w:val="24"/>
        </w:rPr>
        <w:t xml:space="preserve"> Notre ville présente deux priorités de sécurité selon la nature du flux. D’une part, l’intégrité et la détection d’anomalie s’appliquent à tout flux à conséquence légale ou physique directe : les radars (vitesse, feux), dont une mesure falsifiée engage la</w:t>
      </w:r>
      <w:r>
        <w:rPr>
          <w:rFonts w:ascii="Times New Roman" w:hAnsi="Times New Roman" w:eastAsia="Times New Roman" w:cs="Times New Roman"/>
          <w:color w:val="000000"/>
          <w:sz w:val="24"/>
        </w:rPr>
        <w:t xml:space="preserve"> responsabilité juridique de la commune ou la sécurité d’un usager, et les capteurs de fumée des parkings, dont une panne ou une falsification retarderait une alerte incendie. D’autre part, la résilience s’applique aux flux à impact limité au confort d’usa</w:t>
      </w:r>
      <w:r>
        <w:rPr>
          <w:rFonts w:ascii="Times New Roman" w:hAnsi="Times New Roman" w:eastAsia="Times New Roman" w:cs="Times New Roman"/>
          <w:color w:val="000000"/>
          <w:sz w:val="24"/>
        </w:rPr>
        <w:t xml:space="preserve">ge : occupation des parkings et données météo, dont une interruption ne dégrade que le service rendu aux citoyens, sans risque pour les personnes ni portée légale. Cette double priorité oriente notre conception vers une vérification d’intégrité renforcée s</w:t>
      </w:r>
      <w:r>
        <w:rPr>
          <w:rFonts w:ascii="Times New Roman" w:hAnsi="Times New Roman" w:eastAsia="Times New Roman" w:cs="Times New Roman"/>
          <w:color w:val="000000"/>
          <w:sz w:val="24"/>
        </w:rPr>
        <w:t xml:space="preserve">ur les flux critiques, et une simple continuité de service sur les flux de confort.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E2717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984A7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Spécificité :</w:t>
      </w:r>
      <w:r>
        <w:rPr>
          <w:rFonts w:ascii="Times New Roman" w:hAnsi="Times New Roman" w:eastAsia="Times New Roman" w:cs="Times New Roman"/>
          <w:color w:val="000000"/>
          <w:sz w:val="24"/>
        </w:rPr>
        <w:t xml:space="preserve"> La spécificité de notre cas se traduit par une segmentation des topics MQTT en deux niveaux. Un topic public, exposé au tableau de bord citoyen, diffuse l’occupation des parkings et les données météo. Un topic restreint, interne, porte les données radar (</w:t>
      </w:r>
      <w:r>
        <w:rPr>
          <w:rFonts w:ascii="Times New Roman" w:hAnsi="Times New Roman" w:eastAsia="Times New Roman" w:cs="Times New Roman"/>
          <w:color w:val="000000"/>
          <w:sz w:val="24"/>
        </w:rPr>
        <w:t xml:space="preserve">vitesse, feux), à usage privé et gouvernemental.</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482BBFF">
      <w:pPr>
        <w:pBdr>
          <w:bottom w:val="single" w:color="bfbfbf" w:sz="4" w:space="0"/>
        </w:pBdr>
        <w:spacing w:after="160"/>
        <w:ind/>
        <w:rPr>
          <w:rFonts w:ascii="Times New Roman" w:hAnsi="Times New Roman" w:eastAsia="Times New Roman" w:cs="Times New Roman"/>
          <w:color w:val="000000"/>
          <w:sz w:val="24"/>
          <w:szCs w:val="24"/>
          <w:highlight w:val="none"/>
          <w:lang w:val="fr-FR"/>
        </w:rPr>
      </w:pPr>
      <w:r>
        <w:rPr>
          <w:rFonts w:ascii="Times New Roman" w:hAnsi="Times New Roman" w:eastAsia="Times New Roman" w:cs="Times New Roman"/>
          <w:color w:val="000000"/>
          <w:sz w:val="24"/>
          <w:szCs w:val="24"/>
          <w:highlight w:val="none"/>
          <w:lang w:val="fr-FR"/>
        </w:rPr>
      </w:r>
      <w:r>
        <w:rPr>
          <w:rFonts w:ascii="Times New Roman" w:hAnsi="Times New Roman" w:eastAsia="Times New Roman" w:cs="Times New Roman"/>
          <w:color w:val="000000"/>
          <w:sz w:val="24"/>
          <w:szCs w:val="24"/>
          <w:highlight w:val="none"/>
          <w:lang w:val="fr-FR"/>
        </w:rPr>
      </w:r>
      <w:r>
        <w:rPr>
          <w:rFonts w:ascii="Times New Roman" w:hAnsi="Times New Roman" w:eastAsia="Times New Roman" w:cs="Times New Roman"/>
          <w:color w:val="000000"/>
          <w:sz w:val="24"/>
          <w:szCs w:val="24"/>
          <w:highlight w:val="none"/>
          <w:lang w:val="fr-FR"/>
        </w:rPr>
      </w:r>
    </w:p>
    <w:p>
      <w:pPr>
        <w:pStyle w:val="892"/>
        <w:pBdr/>
        <w:spacing w:after="100" w:before="280"/>
        <w:ind/>
        <w:rPr/>
      </w:pPr>
      <w:r>
        <w:rPr>
          <w:b/>
          <w:bCs/>
          <w:color w:val="1f3864"/>
          <w:sz w:val="26"/>
          <w:szCs w:val="26"/>
          <w:lang w:val="fr-FR"/>
        </w:rPr>
        <w:t xml:space="preserve">2</w:t>
      </w:r>
      <w:r>
        <w:rPr>
          <w:b/>
          <w:bCs/>
          <w:color w:val="1f3864"/>
          <w:sz w:val="26"/>
          <w:szCs w:val="26"/>
        </w:rPr>
        <w:t xml:space="preserve">. Objets et contraintes</w:t>
      </w:r>
      <w:r/>
    </w:p>
    <w:p w14:paraId="05DFED8F">
      <w:pPr>
        <w:pBdr/>
        <w:spacing/>
        <w:ind/>
        <w:rPr/>
      </w:pPr>
      <w:r>
        <w:rPr>
          <w:b/>
          <w:bCs/>
          <w:color w:val="1f3864"/>
          <w:sz w:val="26"/>
          <w:szCs w:val="26"/>
        </w:rPr>
      </w:r>
      <w:r/>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300"/>
        <w:gridCol w:w="4900"/>
      </w:tblGrid>
      <w:tr>
        <w:trPr>
          <w:tblHeader/>
        </w:trPr>
        <w:tc>
          <w:tcPr>
            <w:shd w:val="clear" w:color="auto" w:fill="1f3864"/>
            <w:tcBorders/>
            <w:tcMar>
              <w:left w:w="80" w:type="dxa"/>
              <w:top w:w="60" w:type="dxa"/>
              <w:right w:w="80" w:type="dxa"/>
              <w:bottom w:w="60" w:type="dxa"/>
            </w:tcMar>
            <w:tcW w:w="2500" w:type="dxa"/>
          </w:tcPr>
          <w:p>
            <w:pPr>
              <w:pBdr/>
              <w:spacing/>
              <w:ind/>
              <w:rPr/>
            </w:pPr>
            <w:r>
              <w:rPr>
                <w:b/>
                <w:bCs/>
                <w:i w:val="0"/>
                <w:iCs w:val="0"/>
                <w:color w:val="ffffff"/>
                <w:sz w:val="17"/>
                <w:szCs w:val="17"/>
              </w:rPr>
              <w:t xml:space="preserve">Objet</w:t>
            </w:r>
            <w:r/>
          </w:p>
        </w:tc>
        <w:tc>
          <w:tcPr>
            <w:shd w:val="clear" w:color="auto" w:fill="1f3864"/>
            <w:tcBorders/>
            <w:tcMar>
              <w:left w:w="80" w:type="dxa"/>
              <w:top w:w="60" w:type="dxa"/>
              <w:right w:w="80" w:type="dxa"/>
              <w:bottom w:w="60" w:type="dxa"/>
            </w:tcMar>
            <w:tcW w:w="2300" w:type="dxa"/>
          </w:tcPr>
          <w:p>
            <w:pPr>
              <w:pBdr/>
              <w:spacing/>
              <w:ind/>
              <w:rPr/>
            </w:pPr>
            <w:r>
              <w:rPr>
                <w:b/>
                <w:bCs/>
                <w:i w:val="0"/>
                <w:iCs w:val="0"/>
                <w:color w:val="ffffff"/>
                <w:sz w:val="17"/>
                <w:szCs w:val="17"/>
              </w:rPr>
              <w:t xml:space="preserve">Mesure / rôle</w:t>
            </w:r>
            <w:r/>
          </w:p>
        </w:tc>
        <w:tc>
          <w:tcPr>
            <w:shd w:val="clear" w:color="auto" w:fill="1f3864"/>
            <w:tcBorders/>
            <w:tcMar>
              <w:left w:w="80" w:type="dxa"/>
              <w:top w:w="60" w:type="dxa"/>
              <w:right w:w="80" w:type="dxa"/>
              <w:bottom w:w="60" w:type="dxa"/>
            </w:tcMar>
            <w:tcW w:w="4900" w:type="dxa"/>
          </w:tcPr>
          <w:p>
            <w:pPr>
              <w:pBdr/>
              <w:spacing/>
              <w:ind/>
              <w:rPr/>
            </w:pPr>
            <w:r>
              <w:rPr>
                <w:b/>
                <w:bCs/>
                <w:i w:val="0"/>
                <w:iCs w:val="0"/>
                <w:color w:val="ffffff"/>
                <w:sz w:val="17"/>
                <w:szCs w:val="17"/>
              </w:rPr>
              <w:t xml:space="preserve">Contrainte(s) associée(s)</w:t>
            </w:r>
            <w:r/>
          </w:p>
        </w:tc>
      </w:tr>
      <w:tr>
        <w:trPr>
          <w:trHeight w:val="181"/>
        </w:trPr>
        <w:tc>
          <w:tcPr>
            <w:tcBorders/>
            <w:tcMar>
              <w:left w:w="80" w:type="dxa"/>
              <w:top w:w="60" w:type="dxa"/>
              <w:right w:w="80" w:type="dxa"/>
              <w:bottom w:w="60" w:type="dxa"/>
            </w:tcMar>
            <w:tcW w:w="2500" w:type="dxa"/>
          </w:tcPr>
          <w:p w14:paraId="69C52C2B">
            <w:pPr>
              <w:pBdr/>
              <w:spacing w:after="0" w:before="0" w:line="240" w:lineRule="auto"/>
              <w:ind/>
              <w:rPr>
                <w:sz w:val="16"/>
                <w:szCs w:val="16"/>
              </w:rPr>
            </w:pPr>
            <w:r>
              <w:rPr>
                <w:rFonts w:ascii="Times New Roman" w:hAnsi="Times New Roman" w:eastAsia="Times New Roman" w:cs="Times New Roman"/>
                <w:color w:val="000000"/>
                <w:sz w:val="20"/>
                <w:szCs w:val="16"/>
              </w:rPr>
              <w:t xml:space="preserve">Capteur de présence (parking)</w:t>
            </w:r>
            <w:r>
              <w:rPr>
                <w:sz w:val="16"/>
                <w:szCs w:val="16"/>
              </w:rPr>
            </w:r>
            <w:r>
              <w:rPr>
                <w:sz w:val="16"/>
                <w:szCs w:val="16"/>
              </w:rPr>
            </w:r>
          </w:p>
        </w:tc>
        <w:tc>
          <w:tcPr>
            <w:tcBorders/>
            <w:tcMar>
              <w:left w:w="80" w:type="dxa"/>
              <w:top w:w="60" w:type="dxa"/>
              <w:right w:w="80" w:type="dxa"/>
              <w:bottom w:w="60" w:type="dxa"/>
            </w:tcMar>
            <w:tcW w:w="2300" w:type="dxa"/>
          </w:tcPr>
          <w:p w14:paraId="2A18C069">
            <w:pPr>
              <w:pBdr/>
              <w:spacing w:after="0" w:before="0" w:line="240" w:lineRule="auto"/>
              <w:ind/>
              <w:rPr>
                <w:sz w:val="16"/>
                <w:szCs w:val="16"/>
              </w:rPr>
            </w:pPr>
            <w:r>
              <w:rPr>
                <w:rFonts w:ascii="Times New Roman" w:hAnsi="Times New Roman" w:eastAsia="Times New Roman" w:cs="Times New Roman"/>
                <w:color w:val="000000"/>
                <w:sz w:val="20"/>
                <w:szCs w:val="16"/>
              </w:rPr>
              <w:t xml:space="preserve">Détecte l’occupation d’une place (binaire libre/occupé)</w:t>
            </w:r>
            <w:r>
              <w:rPr>
                <w:sz w:val="16"/>
                <w:szCs w:val="16"/>
              </w:rPr>
            </w:r>
            <w:r>
              <w:rPr>
                <w:sz w:val="16"/>
                <w:szCs w:val="16"/>
              </w:rPr>
            </w:r>
          </w:p>
        </w:tc>
        <w:tc>
          <w:tcPr>
            <w:tcBorders/>
            <w:tcMar>
              <w:left w:w="80" w:type="dxa"/>
              <w:top w:w="60" w:type="dxa"/>
              <w:right w:w="80" w:type="dxa"/>
              <w:bottom w:w="60" w:type="dxa"/>
            </w:tcMar>
            <w:tcW w:w="4900" w:type="dxa"/>
          </w:tcPr>
          <w:p w14:paraId="23C4CB7B">
            <w:pPr>
              <w:pBdr/>
              <w:spacing w:after="0" w:before="0" w:line="240" w:lineRule="auto"/>
              <w:ind/>
              <w:rPr>
                <w:sz w:val="16"/>
                <w:szCs w:val="16"/>
              </w:rPr>
            </w:pPr>
            <w:r>
              <w:rPr>
                <w:rFonts w:ascii="Times New Roman" w:hAnsi="Times New Roman" w:eastAsia="Times New Roman" w:cs="Times New Roman"/>
                <w:color w:val="000000"/>
                <w:sz w:val="20"/>
                <w:szCs w:val="16"/>
              </w:rPr>
              <w:t xml:space="preserve">80 unités (2 parkings × 40 places) ; alimentation secteur (infrastructure fixe) ; portée courte intra-parking</w:t>
            </w:r>
            <w:r>
              <w:rPr>
                <w:sz w:val="16"/>
                <w:szCs w:val="16"/>
              </w:rPr>
            </w:r>
            <w:r>
              <w:rPr>
                <w:sz w:val="16"/>
                <w:szCs w:val="16"/>
              </w:rPr>
            </w:r>
          </w:p>
        </w:tc>
      </w:tr>
      <w:tr>
        <w:trPr>
          <w:trHeight w:val="181"/>
        </w:trPr>
        <w:tc>
          <w:tcPr>
            <w:tcBorders/>
            <w:tcMar>
              <w:left w:w="80" w:type="dxa"/>
              <w:top w:w="60" w:type="dxa"/>
              <w:right w:w="80" w:type="dxa"/>
              <w:bottom w:w="60" w:type="dxa"/>
            </w:tcMar>
            <w:tcW w:w="2500" w:type="dxa"/>
            <w:vMerge w:val="restart"/>
          </w:tcPr>
          <w:p w14:paraId="068ECC91">
            <w:pPr>
              <w:pBdr/>
              <w:spacing w:after="0" w:before="0" w:line="240" w:lineRule="auto"/>
              <w:ind/>
              <w:rPr>
                <w:sz w:val="16"/>
                <w:szCs w:val="16"/>
              </w:rPr>
            </w:pPr>
            <w:r>
              <w:rPr>
                <w:rFonts w:ascii="Times New Roman" w:hAnsi="Times New Roman" w:eastAsia="Times New Roman" w:cs="Times New Roman"/>
                <w:color w:val="000000"/>
                <w:sz w:val="20"/>
                <w:szCs w:val="16"/>
              </w:rPr>
              <w:t xml:space="preserve">Capteur de fumée (parking)</w:t>
            </w:r>
            <w:r>
              <w:rPr>
                <w:sz w:val="16"/>
                <w:szCs w:val="16"/>
              </w:rPr>
            </w:r>
            <w:r>
              <w:rPr>
                <w:sz w:val="16"/>
                <w:szCs w:val="16"/>
              </w:rPr>
            </w:r>
          </w:p>
        </w:tc>
        <w:tc>
          <w:tcPr>
            <w:tcBorders/>
            <w:tcMar>
              <w:left w:w="80" w:type="dxa"/>
              <w:top w:w="60" w:type="dxa"/>
              <w:right w:w="80" w:type="dxa"/>
              <w:bottom w:w="60" w:type="dxa"/>
            </w:tcMar>
            <w:tcW w:w="2300" w:type="dxa"/>
            <w:vMerge w:val="restart"/>
          </w:tcPr>
          <w:p w14:paraId="5D4F3CFC">
            <w:pPr>
              <w:pBdr/>
              <w:spacing w:after="0" w:before="0" w:line="240" w:lineRule="auto"/>
              <w:ind/>
              <w:rPr>
                <w:sz w:val="16"/>
                <w:szCs w:val="16"/>
              </w:rPr>
            </w:pPr>
            <w:r>
              <w:rPr>
                <w:rFonts w:ascii="Times New Roman" w:hAnsi="Times New Roman" w:eastAsia="Times New Roman" w:cs="Times New Roman"/>
                <w:color w:val="000000"/>
                <w:sz w:val="20"/>
                <w:szCs w:val="16"/>
              </w:rPr>
              <w:t xml:space="preserve">Détecte un départ de feu dans le parking</w:t>
            </w:r>
            <w:r>
              <w:rPr>
                <w:sz w:val="16"/>
                <w:szCs w:val="16"/>
              </w:rPr>
            </w:r>
            <w:r>
              <w:rPr>
                <w:sz w:val="16"/>
                <w:szCs w:val="16"/>
              </w:rPr>
            </w:r>
          </w:p>
        </w:tc>
        <w:tc>
          <w:tcPr>
            <w:tcBorders/>
            <w:tcMar>
              <w:left w:w="80" w:type="dxa"/>
              <w:top w:w="60" w:type="dxa"/>
              <w:right w:w="80" w:type="dxa"/>
              <w:bottom w:w="60" w:type="dxa"/>
            </w:tcMar>
            <w:tcW w:w="4900" w:type="dxa"/>
            <w:vMerge w:val="restart"/>
          </w:tcPr>
          <w:p w14:paraId="497033DD">
            <w:pPr>
              <w:pBdr/>
              <w:spacing w:after="0" w:before="0" w:line="240" w:lineRule="auto"/>
              <w:ind/>
              <w:rPr>
                <w:sz w:val="16"/>
                <w:szCs w:val="16"/>
              </w:rPr>
            </w:pPr>
            <w:r>
              <w:rPr>
                <w:rFonts w:ascii="Times New Roman" w:hAnsi="Times New Roman" w:eastAsia="Times New Roman" w:cs="Times New Roman"/>
                <w:color w:val="000000"/>
                <w:sz w:val="20"/>
                <w:szCs w:val="16"/>
              </w:rPr>
              <w:t xml:space="preserve">8 unités (4/parking) ; criticité sécurité des personnes ; latence d’alerte quasi temps réel exigée</w:t>
            </w:r>
            <w:r>
              <w:rPr>
                <w:sz w:val="16"/>
                <w:szCs w:val="16"/>
              </w:rPr>
            </w:r>
            <w:r>
              <w:rPr>
                <w:sz w:val="16"/>
                <w:szCs w:val="16"/>
              </w:rPr>
            </w:r>
          </w:p>
        </w:tc>
      </w:tr>
      <w:tr>
        <w:trPr>
          <w:trHeight w:val="181"/>
        </w:trPr>
        <w:tc>
          <w:tcPr>
            <w:tcBorders/>
            <w:tcMar>
              <w:left w:w="80" w:type="dxa"/>
              <w:top w:w="60" w:type="dxa"/>
              <w:right w:w="80" w:type="dxa"/>
              <w:bottom w:w="60" w:type="dxa"/>
            </w:tcMar>
            <w:tcW w:w="2500" w:type="dxa"/>
            <w:vMerge w:val="restart"/>
          </w:tcPr>
          <w:p w14:paraId="63D0DBCB">
            <w:pPr>
              <w:pBdr/>
              <w:spacing w:after="0" w:before="0" w:line="240" w:lineRule="auto"/>
              <w:ind/>
              <w:rPr>
                <w:sz w:val="16"/>
                <w:szCs w:val="16"/>
              </w:rPr>
            </w:pPr>
            <w:r>
              <w:rPr>
                <w:rFonts w:ascii="Times New Roman" w:hAnsi="Times New Roman" w:eastAsia="Times New Roman" w:cs="Times New Roman"/>
                <w:color w:val="000000"/>
                <w:sz w:val="20"/>
                <w:szCs w:val="16"/>
              </w:rPr>
              <w:t xml:space="preserve">Capteur de vent</w:t>
            </w:r>
            <w:r>
              <w:rPr>
                <w:sz w:val="16"/>
                <w:szCs w:val="16"/>
              </w:rPr>
            </w:r>
            <w:r>
              <w:rPr>
                <w:sz w:val="16"/>
                <w:szCs w:val="16"/>
              </w:rPr>
            </w:r>
          </w:p>
        </w:tc>
        <w:tc>
          <w:tcPr>
            <w:tcBorders/>
            <w:tcMar>
              <w:left w:w="80" w:type="dxa"/>
              <w:top w:w="60" w:type="dxa"/>
              <w:right w:w="80" w:type="dxa"/>
              <w:bottom w:w="60" w:type="dxa"/>
            </w:tcMar>
            <w:tcW w:w="2300" w:type="dxa"/>
            <w:vMerge w:val="restart"/>
          </w:tcPr>
          <w:p w14:paraId="73C553BD">
            <w:pPr>
              <w:pBdr/>
              <w:spacing w:after="0" w:before="0" w:line="240" w:lineRule="auto"/>
              <w:ind/>
              <w:rPr>
                <w:sz w:val="16"/>
                <w:szCs w:val="16"/>
              </w:rPr>
            </w:pPr>
            <w:r>
              <w:rPr>
                <w:rFonts w:ascii="Times New Roman" w:hAnsi="Times New Roman" w:eastAsia="Times New Roman" w:cs="Times New Roman"/>
                <w:color w:val="000000"/>
                <w:sz w:val="20"/>
                <w:szCs w:val="16"/>
              </w:rPr>
              <w:t xml:space="preserve">Mesure environnementale extérieure</w:t>
            </w:r>
            <w:r>
              <w:rPr>
                <w:sz w:val="16"/>
                <w:szCs w:val="16"/>
              </w:rPr>
            </w:r>
            <w:r>
              <w:rPr>
                <w:sz w:val="16"/>
                <w:szCs w:val="16"/>
              </w:rPr>
            </w:r>
          </w:p>
        </w:tc>
        <w:tc>
          <w:tcPr>
            <w:tcBorders/>
            <w:tcMar>
              <w:left w:w="80" w:type="dxa"/>
              <w:top w:w="60" w:type="dxa"/>
              <w:right w:w="80" w:type="dxa"/>
              <w:bottom w:w="60" w:type="dxa"/>
            </w:tcMar>
            <w:tcW w:w="4900" w:type="dxa"/>
            <w:vMerge w:val="restart"/>
          </w:tcPr>
          <w:p w14:paraId="31E2DDC1">
            <w:pPr>
              <w:pBdr/>
              <w:spacing w:after="0" w:before="0" w:line="240" w:lineRule="auto"/>
              <w:ind/>
              <w:rPr>
                <w:sz w:val="16"/>
                <w:szCs w:val="16"/>
              </w:rPr>
            </w:pPr>
            <w:r>
              <w:rPr>
                <w:rFonts w:ascii="Times New Roman" w:hAnsi="Times New Roman" w:eastAsia="Times New Roman" w:cs="Times New Roman"/>
                <w:color w:val="000000"/>
                <w:sz w:val="20"/>
                <w:szCs w:val="16"/>
              </w:rPr>
              <w:t xml:space="preserve">3 unités ; alimentation solaire (extérieur)</w:t>
            </w:r>
            <w:r>
              <w:rPr>
                <w:sz w:val="16"/>
                <w:szCs w:val="16"/>
              </w:rPr>
            </w:r>
            <w:r>
              <w:rPr>
                <w:sz w:val="16"/>
                <w:szCs w:val="16"/>
              </w:rPr>
            </w:r>
          </w:p>
        </w:tc>
      </w:tr>
      <w:tr>
        <w:trPr>
          <w:trHeight w:val="181"/>
        </w:trPr>
        <w:tc>
          <w:tcPr>
            <w:tcBorders/>
            <w:tcMar>
              <w:left w:w="80" w:type="dxa"/>
              <w:top w:w="60" w:type="dxa"/>
              <w:right w:w="80" w:type="dxa"/>
              <w:bottom w:w="60" w:type="dxa"/>
            </w:tcMar>
            <w:tcW w:w="2500" w:type="dxa"/>
            <w:vMerge w:val="restart"/>
          </w:tcPr>
          <w:p w14:paraId="3A7B4D34">
            <w:pPr>
              <w:pBdr/>
              <w:spacing w:after="0" w:before="0" w:line="240" w:lineRule="auto"/>
              <w:ind/>
              <w:rPr>
                <w:sz w:val="16"/>
                <w:szCs w:val="16"/>
              </w:rPr>
            </w:pPr>
            <w:r>
              <w:rPr>
                <w:rFonts w:ascii="Times New Roman" w:hAnsi="Times New Roman" w:eastAsia="Times New Roman" w:cs="Times New Roman"/>
                <w:color w:val="000000"/>
                <w:sz w:val="20"/>
                <w:szCs w:val="16"/>
              </w:rPr>
              <w:t xml:space="preserve">Capteur de température</w:t>
            </w:r>
            <w:r>
              <w:rPr>
                <w:sz w:val="16"/>
                <w:szCs w:val="16"/>
              </w:rPr>
            </w:r>
            <w:r>
              <w:rPr>
                <w:sz w:val="16"/>
                <w:szCs w:val="16"/>
              </w:rPr>
            </w:r>
          </w:p>
        </w:tc>
        <w:tc>
          <w:tcPr>
            <w:tcBorders/>
            <w:tcMar>
              <w:left w:w="80" w:type="dxa"/>
              <w:top w:w="60" w:type="dxa"/>
              <w:right w:w="80" w:type="dxa"/>
              <w:bottom w:w="60" w:type="dxa"/>
            </w:tcMar>
            <w:tcW w:w="2300" w:type="dxa"/>
            <w:vMerge w:val="restart"/>
          </w:tcPr>
          <w:p w14:paraId="4B637A48">
            <w:pPr>
              <w:pBdr/>
              <w:spacing w:after="0" w:before="0" w:line="240" w:lineRule="auto"/>
              <w:ind/>
              <w:rPr>
                <w:sz w:val="16"/>
                <w:szCs w:val="16"/>
              </w:rPr>
            </w:pPr>
            <w:r>
              <w:rPr>
                <w:rFonts w:ascii="Times New Roman" w:hAnsi="Times New Roman" w:eastAsia="Times New Roman" w:cs="Times New Roman"/>
                <w:color w:val="000000"/>
                <w:sz w:val="20"/>
                <w:szCs w:val="16"/>
              </w:rPr>
              <w:t xml:space="preserve">Mesure environnementale extérieure</w:t>
            </w:r>
            <w:r>
              <w:rPr>
                <w:sz w:val="16"/>
                <w:szCs w:val="16"/>
              </w:rPr>
            </w:r>
            <w:r>
              <w:rPr>
                <w:sz w:val="16"/>
                <w:szCs w:val="16"/>
              </w:rPr>
            </w:r>
          </w:p>
        </w:tc>
        <w:tc>
          <w:tcPr>
            <w:tcBorders/>
            <w:tcMar>
              <w:left w:w="80" w:type="dxa"/>
              <w:top w:w="60" w:type="dxa"/>
              <w:right w:w="80" w:type="dxa"/>
              <w:bottom w:w="60" w:type="dxa"/>
            </w:tcMar>
            <w:tcW w:w="4900" w:type="dxa"/>
            <w:vMerge w:val="restart"/>
          </w:tcPr>
          <w:p w14:paraId="7A783635">
            <w:pPr>
              <w:pBdr/>
              <w:spacing w:after="0" w:before="0" w:line="240" w:lineRule="auto"/>
              <w:ind/>
              <w:rPr>
                <w:sz w:val="16"/>
                <w:szCs w:val="16"/>
              </w:rPr>
            </w:pPr>
            <w:r>
              <w:rPr>
                <w:rFonts w:ascii="Times New Roman" w:hAnsi="Times New Roman" w:eastAsia="Times New Roman" w:cs="Times New Roman"/>
                <w:color w:val="000000"/>
                <w:sz w:val="20"/>
                <w:szCs w:val="16"/>
              </w:rPr>
              <w:t xml:space="preserve">3 unités ; alimentation solaire (extérieur)</w:t>
            </w:r>
            <w:r>
              <w:rPr>
                <w:sz w:val="16"/>
                <w:szCs w:val="16"/>
              </w:rPr>
            </w:r>
            <w:r>
              <w:rPr>
                <w:sz w:val="16"/>
                <w:szCs w:val="16"/>
              </w:rPr>
            </w:r>
          </w:p>
        </w:tc>
      </w:tr>
      <w:tr>
        <w:trPr>
          <w:trHeight w:val="181"/>
        </w:trPr>
        <w:tc>
          <w:tcPr>
            <w:tcBorders/>
            <w:tcMar>
              <w:left w:w="80" w:type="dxa"/>
              <w:top w:w="60" w:type="dxa"/>
              <w:right w:w="80" w:type="dxa"/>
              <w:bottom w:w="60" w:type="dxa"/>
            </w:tcMar>
            <w:tcW w:w="2500" w:type="dxa"/>
            <w:vMerge w:val="restart"/>
          </w:tcPr>
          <w:p w14:paraId="65A500F5">
            <w:pPr>
              <w:pBdr/>
              <w:spacing w:after="0" w:before="0" w:line="240" w:lineRule="auto"/>
              <w:ind/>
              <w:rPr>
                <w:sz w:val="16"/>
                <w:szCs w:val="16"/>
              </w:rPr>
            </w:pPr>
            <w:r>
              <w:rPr>
                <w:rFonts w:ascii="Times New Roman" w:hAnsi="Times New Roman" w:eastAsia="Times New Roman" w:cs="Times New Roman"/>
                <w:color w:val="000000"/>
                <w:sz w:val="20"/>
                <w:szCs w:val="16"/>
              </w:rPr>
              <w:t xml:space="preserve">Capteur d’humidité</w:t>
            </w:r>
            <w:r>
              <w:rPr>
                <w:sz w:val="16"/>
                <w:szCs w:val="16"/>
              </w:rPr>
            </w:r>
            <w:r>
              <w:rPr>
                <w:sz w:val="16"/>
                <w:szCs w:val="16"/>
              </w:rPr>
            </w:r>
          </w:p>
        </w:tc>
        <w:tc>
          <w:tcPr>
            <w:tcBorders/>
            <w:tcMar>
              <w:left w:w="80" w:type="dxa"/>
              <w:top w:w="60" w:type="dxa"/>
              <w:right w:w="80" w:type="dxa"/>
              <w:bottom w:w="60" w:type="dxa"/>
            </w:tcMar>
            <w:tcW w:w="2300" w:type="dxa"/>
            <w:vMerge w:val="restart"/>
          </w:tcPr>
          <w:p w14:paraId="60AE4CF4">
            <w:pPr>
              <w:pBdr/>
              <w:spacing w:after="0" w:before="0" w:line="240" w:lineRule="auto"/>
              <w:ind/>
              <w:rPr>
                <w:sz w:val="16"/>
                <w:szCs w:val="16"/>
              </w:rPr>
            </w:pPr>
            <w:r>
              <w:rPr>
                <w:rFonts w:ascii="Times New Roman" w:hAnsi="Times New Roman" w:eastAsia="Times New Roman" w:cs="Times New Roman"/>
                <w:color w:val="000000"/>
                <w:sz w:val="20"/>
                <w:szCs w:val="16"/>
              </w:rPr>
              <w:t xml:space="preserve">Mesure environnementale extérieure</w:t>
            </w:r>
            <w:r>
              <w:rPr>
                <w:sz w:val="16"/>
                <w:szCs w:val="16"/>
              </w:rPr>
            </w:r>
            <w:r>
              <w:rPr>
                <w:sz w:val="16"/>
                <w:szCs w:val="16"/>
              </w:rPr>
            </w:r>
          </w:p>
        </w:tc>
        <w:tc>
          <w:tcPr>
            <w:tcBorders/>
            <w:tcMar>
              <w:left w:w="80" w:type="dxa"/>
              <w:top w:w="60" w:type="dxa"/>
              <w:right w:w="80" w:type="dxa"/>
              <w:bottom w:w="60" w:type="dxa"/>
            </w:tcMar>
            <w:tcW w:w="4900" w:type="dxa"/>
            <w:vMerge w:val="restart"/>
          </w:tcPr>
          <w:p w14:paraId="227B99D4">
            <w:pPr>
              <w:pBdr/>
              <w:spacing w:after="0" w:before="0" w:line="240" w:lineRule="auto"/>
              <w:ind/>
              <w:rPr>
                <w:sz w:val="16"/>
                <w:szCs w:val="16"/>
              </w:rPr>
            </w:pPr>
            <w:r>
              <w:rPr>
                <w:rFonts w:ascii="Times New Roman" w:hAnsi="Times New Roman" w:eastAsia="Times New Roman" w:cs="Times New Roman"/>
                <w:color w:val="000000"/>
                <w:sz w:val="20"/>
                <w:szCs w:val="16"/>
              </w:rPr>
              <w:t xml:space="preserve">3 unités ; alimentation solaire (extérieur)</w:t>
            </w:r>
            <w:r>
              <w:rPr>
                <w:sz w:val="16"/>
                <w:szCs w:val="16"/>
              </w:rPr>
            </w:r>
            <w:r>
              <w:rPr>
                <w:sz w:val="16"/>
                <w:szCs w:val="16"/>
              </w:rPr>
            </w:r>
          </w:p>
        </w:tc>
      </w:tr>
      <w:tr>
        <w:trPr/>
        <w:tc>
          <w:tcPr>
            <w:tcBorders/>
            <w:tcMar>
              <w:left w:w="80" w:type="dxa"/>
              <w:top w:w="60" w:type="dxa"/>
              <w:right w:w="80" w:type="dxa"/>
              <w:bottom w:w="60" w:type="dxa"/>
            </w:tcMar>
            <w:tcW w:w="2500" w:type="dxa"/>
          </w:tcPr>
          <w:p w14:paraId="6187CD63">
            <w:pPr>
              <w:pBdr/>
              <w:spacing w:after="0" w:before="0" w:line="240" w:lineRule="auto"/>
              <w:ind/>
              <w:rPr>
                <w:sz w:val="16"/>
                <w:szCs w:val="16"/>
              </w:rPr>
            </w:pPr>
            <w:r>
              <w:rPr>
                <w:rFonts w:ascii="Times New Roman" w:hAnsi="Times New Roman" w:eastAsia="Times New Roman" w:cs="Times New Roman"/>
                <w:color w:val="000000"/>
                <w:sz w:val="20"/>
                <w:szCs w:val="16"/>
              </w:rPr>
              <w:t xml:space="preserve">Radar de vitesse</w:t>
            </w:r>
            <w:r>
              <w:rPr>
                <w:sz w:val="16"/>
                <w:szCs w:val="16"/>
              </w:rPr>
            </w:r>
            <w:r>
              <w:rPr>
                <w:sz w:val="16"/>
                <w:szCs w:val="16"/>
              </w:rPr>
            </w:r>
          </w:p>
        </w:tc>
        <w:tc>
          <w:tcPr>
            <w:tcBorders/>
            <w:tcMar>
              <w:left w:w="80" w:type="dxa"/>
              <w:top w:w="60" w:type="dxa"/>
              <w:right w:w="80" w:type="dxa"/>
              <w:bottom w:w="60" w:type="dxa"/>
            </w:tcMar>
            <w:tcW w:w="2300" w:type="dxa"/>
          </w:tcPr>
          <w:p w14:paraId="01A9B389">
            <w:pPr>
              <w:pBdr/>
              <w:spacing w:after="0" w:before="0" w:line="240" w:lineRule="auto"/>
              <w:ind/>
              <w:rPr>
                <w:sz w:val="16"/>
                <w:szCs w:val="16"/>
              </w:rPr>
            </w:pPr>
            <w:r>
              <w:rPr>
                <w:rFonts w:ascii="Times New Roman" w:hAnsi="Times New Roman" w:eastAsia="Times New Roman" w:cs="Times New Roman"/>
                <w:color w:val="000000"/>
                <w:sz w:val="20"/>
                <w:szCs w:val="16"/>
              </w:rPr>
              <w:t xml:space="preserve">Mesure la vitesse d’un véhicule</w:t>
            </w:r>
            <w:r>
              <w:rPr>
                <w:sz w:val="16"/>
                <w:szCs w:val="16"/>
              </w:rPr>
            </w:r>
            <w:r>
              <w:rPr>
                <w:sz w:val="16"/>
                <w:szCs w:val="16"/>
              </w:rPr>
            </w:r>
          </w:p>
        </w:tc>
        <w:tc>
          <w:tcPr>
            <w:tcBorders/>
            <w:tcMar>
              <w:left w:w="80" w:type="dxa"/>
              <w:top w:w="60" w:type="dxa"/>
              <w:right w:w="80" w:type="dxa"/>
              <w:bottom w:w="60" w:type="dxa"/>
            </w:tcMar>
            <w:tcW w:w="4900" w:type="dxa"/>
          </w:tcPr>
          <w:p w14:paraId="5FCDA4C6">
            <w:pPr>
              <w:pBdr/>
              <w:spacing w:after="0" w:before="0" w:line="240" w:lineRule="auto"/>
              <w:ind/>
              <w:rPr>
                <w:sz w:val="16"/>
                <w:szCs w:val="16"/>
              </w:rPr>
            </w:pPr>
            <w:r>
              <w:rPr>
                <w:rFonts w:ascii="Times New Roman" w:hAnsi="Times New Roman" w:eastAsia="Times New Roman" w:cs="Times New Roman"/>
                <w:color w:val="000000"/>
                <w:sz w:val="20"/>
                <w:szCs w:val="16"/>
              </w:rPr>
              <w:t xml:space="preserve">3 unités ; portée voirie ; fiabilité critique (valeur à portée légale)</w:t>
            </w:r>
            <w:r>
              <w:rPr>
                <w:sz w:val="16"/>
                <w:szCs w:val="16"/>
              </w:rPr>
            </w:r>
            <w:r>
              <w:rPr>
                <w:sz w:val="16"/>
                <w:szCs w:val="16"/>
              </w:rPr>
            </w:r>
          </w:p>
        </w:tc>
      </w:tr>
      <w:tr>
        <w:trPr/>
        <w:tc>
          <w:tcPr>
            <w:tcBorders/>
            <w:tcMar>
              <w:left w:w="80" w:type="dxa"/>
              <w:top w:w="60" w:type="dxa"/>
              <w:right w:w="80" w:type="dxa"/>
              <w:bottom w:w="60" w:type="dxa"/>
            </w:tcMar>
            <w:tcW w:w="2500" w:type="dxa"/>
          </w:tcPr>
          <w:p w14:paraId="2A876D7D">
            <w:pPr>
              <w:pBdr/>
              <w:spacing w:after="0" w:before="0" w:line="240" w:lineRule="auto"/>
              <w:ind/>
              <w:rPr>
                <w:sz w:val="16"/>
                <w:szCs w:val="16"/>
              </w:rPr>
            </w:pPr>
            <w:r>
              <w:rPr>
                <w:rFonts w:ascii="Times New Roman" w:hAnsi="Times New Roman" w:eastAsia="Times New Roman" w:cs="Times New Roman"/>
                <w:color w:val="000000"/>
                <w:sz w:val="20"/>
                <w:szCs w:val="16"/>
              </w:rPr>
              <w:t xml:space="preserve">Radar de feu (boucle inductive)</w:t>
            </w:r>
            <w:r>
              <w:rPr>
                <w:sz w:val="16"/>
                <w:szCs w:val="16"/>
              </w:rPr>
            </w:r>
            <w:r>
              <w:rPr>
                <w:sz w:val="16"/>
                <w:szCs w:val="16"/>
              </w:rPr>
            </w:r>
          </w:p>
        </w:tc>
        <w:tc>
          <w:tcPr>
            <w:tcBorders/>
            <w:tcMar>
              <w:left w:w="80" w:type="dxa"/>
              <w:top w:w="60" w:type="dxa"/>
              <w:right w:w="80" w:type="dxa"/>
              <w:bottom w:w="60" w:type="dxa"/>
            </w:tcMar>
            <w:tcW w:w="2300" w:type="dxa"/>
          </w:tcPr>
          <w:p w14:paraId="18F9D5B8">
            <w:pPr>
              <w:pBdr/>
              <w:spacing w:after="0" w:before="0" w:line="240" w:lineRule="auto"/>
              <w:ind/>
              <w:rPr>
                <w:sz w:val="16"/>
                <w:szCs w:val="16"/>
              </w:rPr>
            </w:pPr>
            <w:r>
              <w:rPr>
                <w:rFonts w:ascii="Times New Roman" w:hAnsi="Times New Roman" w:eastAsia="Times New Roman" w:cs="Times New Roman"/>
                <w:color w:val="000000"/>
                <w:sz w:val="20"/>
                <w:szCs w:val="16"/>
              </w:rPr>
              <w:t xml:space="preserve">Détecte le franchissement au rouge</w:t>
            </w:r>
            <w:r>
              <w:rPr>
                <w:sz w:val="16"/>
                <w:szCs w:val="16"/>
              </w:rPr>
            </w:r>
            <w:r>
              <w:rPr>
                <w:sz w:val="16"/>
                <w:szCs w:val="16"/>
              </w:rPr>
            </w:r>
          </w:p>
        </w:tc>
        <w:tc>
          <w:tcPr>
            <w:tcBorders/>
            <w:tcMar>
              <w:left w:w="80" w:type="dxa"/>
              <w:top w:w="60" w:type="dxa"/>
              <w:right w:w="80" w:type="dxa"/>
              <w:bottom w:w="60" w:type="dxa"/>
            </w:tcMar>
            <w:tcW w:w="4900" w:type="dxa"/>
          </w:tcPr>
          <w:p w14:paraId="245A24A7">
            <w:pPr>
              <w:pBdr/>
              <w:spacing w:after="0" w:before="0" w:line="240" w:lineRule="auto"/>
              <w:ind/>
              <w:rPr>
                <w:sz w:val="16"/>
                <w:szCs w:val="16"/>
              </w:rPr>
            </w:pPr>
            <w:r>
              <w:rPr>
                <w:rFonts w:ascii="Times New Roman" w:hAnsi="Times New Roman" w:eastAsia="Times New Roman" w:cs="Times New Roman"/>
                <w:color w:val="000000"/>
                <w:sz w:val="20"/>
                <w:szCs w:val="16"/>
              </w:rPr>
              <w:t xml:space="preserve">3 unités ; criticité légale ; alimentation secteur</w:t>
            </w:r>
            <w:r>
              <w:rPr>
                <w:sz w:val="16"/>
                <w:szCs w:val="16"/>
              </w:rPr>
            </w:r>
            <w:r>
              <w:rPr>
                <w:sz w:val="16"/>
                <w:szCs w:val="16"/>
              </w:rPr>
            </w:r>
          </w:p>
        </w:tc>
      </w:tr>
      <w:tr>
        <w:trPr/>
        <w:tc>
          <w:tcPr>
            <w:tcBorders/>
            <w:tcMar>
              <w:left w:w="80" w:type="dxa"/>
              <w:top w:w="60" w:type="dxa"/>
              <w:right w:w="80" w:type="dxa"/>
              <w:bottom w:w="60" w:type="dxa"/>
            </w:tcMar>
            <w:tcW w:w="2500" w:type="dxa"/>
            <w:vMerge w:val="restart"/>
          </w:tcPr>
          <w:p w14:paraId="4A8D21C5">
            <w:pPr>
              <w:pBdr/>
              <w:spacing w:after="0" w:before="0" w:line="240" w:lineRule="auto"/>
              <w:ind/>
              <w:rPr>
                <w:sz w:val="16"/>
                <w:szCs w:val="16"/>
              </w:rPr>
            </w:pPr>
            <w:r>
              <w:rPr>
                <w:rFonts w:ascii="Times New Roman" w:hAnsi="Times New Roman" w:eastAsia="Times New Roman" w:cs="Times New Roman"/>
                <w:color w:val="000000"/>
                <w:sz w:val="20"/>
                <w:szCs w:val="16"/>
              </w:rPr>
              <w:t xml:space="preserve">Objet intrus (hors allowlist)</w:t>
            </w:r>
            <w:r>
              <w:rPr>
                <w:sz w:val="16"/>
                <w:szCs w:val="16"/>
              </w:rPr>
            </w:r>
            <w:r>
              <w:rPr>
                <w:sz w:val="16"/>
                <w:szCs w:val="16"/>
              </w:rPr>
            </w:r>
          </w:p>
        </w:tc>
        <w:tc>
          <w:tcPr>
            <w:tcBorders/>
            <w:tcMar>
              <w:left w:w="80" w:type="dxa"/>
              <w:top w:w="60" w:type="dxa"/>
              <w:right w:w="80" w:type="dxa"/>
              <w:bottom w:w="60" w:type="dxa"/>
            </w:tcMar>
            <w:tcW w:w="2300" w:type="dxa"/>
            <w:vMerge w:val="restart"/>
          </w:tcPr>
          <w:p w14:paraId="5E21494F">
            <w:pPr>
              <w:pBdr/>
              <w:spacing w:after="0" w:before="0" w:line="240" w:lineRule="auto"/>
              <w:ind/>
              <w:rPr>
                <w:sz w:val="16"/>
                <w:szCs w:val="16"/>
              </w:rPr>
            </w:pPr>
            <w:r>
              <w:rPr>
                <w:rFonts w:ascii="Times New Roman" w:hAnsi="Times New Roman" w:eastAsia="Times New Roman" w:cs="Times New Roman"/>
                <w:color w:val="000000"/>
                <w:sz w:val="20"/>
                <w:szCs w:val="16"/>
              </w:rPr>
              <w:t xml:space="preserve">Simule un objet non autorisé tentant de se connecter, pour preuve de détection d’intrusion</w:t>
            </w:r>
            <w:r>
              <w:rPr>
                <w:sz w:val="16"/>
                <w:szCs w:val="16"/>
              </w:rPr>
            </w:r>
            <w:r>
              <w:rPr>
                <w:sz w:val="16"/>
                <w:szCs w:val="16"/>
              </w:rPr>
            </w:r>
          </w:p>
        </w:tc>
        <w:tc>
          <w:tcPr>
            <w:tcBorders/>
            <w:tcMar>
              <w:left w:w="80" w:type="dxa"/>
              <w:top w:w="60" w:type="dxa"/>
              <w:right w:w="80" w:type="dxa"/>
              <w:bottom w:w="60" w:type="dxa"/>
            </w:tcMar>
            <w:tcW w:w="4900" w:type="dxa"/>
            <w:vMerge w:val="restart"/>
          </w:tcPr>
          <w:p w14:paraId="70DB3999">
            <w:pPr>
              <w:pBdr/>
              <w:spacing w:after="0" w:before="0" w:line="240" w:lineRule="auto"/>
              <w:ind/>
              <w:rPr>
                <w:sz w:val="16"/>
                <w:szCs w:val="16"/>
              </w:rPr>
            </w:pPr>
            <w:r>
              <w:rPr>
                <w:rFonts w:ascii="Times New Roman" w:hAnsi="Times New Roman" w:eastAsia="Times New Roman" w:cs="Times New Roman"/>
                <w:color w:val="000000"/>
                <w:sz w:val="20"/>
                <w:szCs w:val="16"/>
              </w:rPr>
              <w:t xml:space="preserve">2 unités (une par broker)</w:t>
            </w:r>
            <w:r>
              <w:rPr>
                <w:sz w:val="16"/>
                <w:szCs w:val="16"/>
              </w:rPr>
            </w:r>
            <w:r>
              <w:rPr>
                <w:sz w:val="16"/>
                <w:szCs w:val="16"/>
              </w:rPr>
            </w:r>
          </w:p>
        </w:tc>
      </w:tr>
    </w:tbl>
    <w:p w14:paraId="2C8AEC9C">
      <w:pPr>
        <w:pBdr>
          <w:bottom w:val="single" w:color="bfbfbf" w:sz="4" w:space="0"/>
        </w:pBdr>
        <w:spacing w:after="160"/>
        <w:ind/>
        <w:rPr>
          <w:bCs/>
          <w:i/>
          <w:color w:val="afabab"/>
          <w:sz w:val="19"/>
          <w:szCs w:val="19"/>
          <w:highlight w:val="none"/>
        </w:rPr>
      </w:pPr>
      <w:r>
        <w:rPr>
          <w:highlight w:val="none"/>
        </w:rPr>
      </w:r>
      <w:r>
        <w:rPr>
          <w:highlight w:val="none"/>
        </w:rPr>
      </w:r>
      <w:r>
        <w:rPr>
          <w:highlight w:val="none"/>
        </w:rPr>
      </w:r>
    </w:p>
    <w:p>
      <w:pPr>
        <w:pBdr>
          <w:bottom w:val="single" w:color="bfbfbf" w:sz="4" w:space="0"/>
        </w:pBdr>
        <w:spacing w:after="160"/>
        <w:ind/>
        <w:rPr>
          <w:highlight w:val="none"/>
        </w:rPr>
      </w:pPr>
      <w:r>
        <w:rPr>
          <w:b/>
          <w:bCs/>
          <w:color w:val="000000" w:themeColor="text1"/>
          <w:sz w:val="19"/>
          <w:szCs w:val="19"/>
        </w:rPr>
        <w:t xml:space="preserve">Échelle visée</w:t>
      </w:r>
      <w:r>
        <w:rPr>
          <w:b/>
          <w:bCs/>
          <w:color w:val="404040"/>
          <w:sz w:val="19"/>
          <w:szCs w:val="19"/>
        </w:rPr>
        <w:t xml:space="preserve">  → </w:t>
      </w:r>
      <w:r>
        <w:t xml:space="preserve">À l’échelle réelle, l’infrastructure vise </w:t>
      </w:r>
      <w:r>
        <w:rPr>
          <w:lang w:val="fr-FR"/>
        </w:rPr>
        <w:t xml:space="preserve">105</w:t>
      </w:r>
      <w:r>
        <w:rPr>
          <w:lang w:val="fr-FR"/>
        </w:rPr>
        <w:t xml:space="preserve"> </w:t>
      </w:r>
      <w:r>
        <w:t xml:space="preserve">objets (80 présence + 8 fumée + 9 météo + 3 radars vitesse + 3 radars feux + 2 intrus pour audit). Le prototype Docker Compose n’en simule qu’un échantillon représentatif par catégorie (2 capteurs de présence, </w:t>
      </w:r>
      <w:r>
        <w:t xml:space="preserve">1 capteur de fumée, 1 station météo complète, 1 radar vitesse, 1 radar feu, 2 objets intrus), le mécanisme d’identité par objet et d’ACL étant indépendant du nombre d’instances et reproductible à l’échelle réelle par simple duplication du service Docker.</w:t>
      </w:r>
      <w:r>
        <w:rPr>
          <w:bCs/>
          <w:i/>
          <w:color w:val="afabab"/>
          <w:sz w:val="19"/>
          <w:szCs w:val="19"/>
          <w:highlight w:val="none"/>
        </w:rPr>
      </w:r>
      <w:r>
        <w:rPr>
          <w:bCs/>
          <w:i/>
          <w:color w:val="afabab"/>
          <w:sz w:val="19"/>
          <w:szCs w:val="19"/>
          <w:highlight w:val="none"/>
        </w:rPr>
      </w:r>
    </w:p>
    <w:p>
      <w:pPr>
        <w:pBdr>
          <w:bottom w:val="single" w:color="bfbfbf" w:sz="4" w:space="0"/>
        </w:pBdr>
        <w:spacing w:after="160"/>
        <w:ind/>
        <w:rPr/>
      </w:pPr>
      <w:r>
        <w:rPr>
          <w:b/>
          <w:bCs/>
          <w:color w:val="000000" w:themeColor="text1"/>
          <w:sz w:val="19"/>
          <w:szCs w:val="19"/>
        </w:rPr>
        <w:t xml:space="preserve">Contrainte énergie / alimentation</w:t>
      </w:r>
      <w:r>
        <w:rPr>
          <w:b/>
          <w:bCs/>
          <w:color w:val="404040"/>
          <w:sz w:val="19"/>
          <w:szCs w:val="19"/>
        </w:rPr>
        <w:t xml:space="preserve"> → </w:t>
      </w:r>
      <w:r>
        <w:t xml:space="preserve">Les capteurs de présence et de fumée, situés dans des parkings fermés avec infrastructure électrique fixe, sont alimentés sur secteur. Les radars (vitesse, feux), installés en voirie sur mâts dédiés, sont également alimentés sur secteur. Les stations météo</w:t>
      </w:r>
      <w:r>
        <w:t xml:space="preserve">, placées en extérieur sans raccordement systématique, fonctionnent sur alimentation solaire avec batterie tampon, ce qui impose une fréquence de reporting modérée pour préserver l’autonomie.</w:t>
      </w:r>
      <w:r>
        <w:rPr>
          <w:i/>
          <w:iCs/>
          <w:color w:val="afabab"/>
          <w:sz w:val="19"/>
          <w:szCs w:val="19"/>
        </w:rPr>
      </w:r>
      <w:r/>
    </w:p>
    <w:p>
      <w:pPr>
        <w:pBdr>
          <w:bottom w:val="single" w:color="bfbfbf" w:sz="4" w:space="0"/>
        </w:pBdr>
        <w:spacing w:after="160"/>
        <w:ind/>
        <w:rPr/>
      </w:pPr>
      <w:r>
        <w:rPr>
          <w:b/>
          <w:bCs/>
          <w:color w:val="000000" w:themeColor="text1"/>
          <w:sz w:val="19"/>
          <w:szCs w:val="19"/>
        </w:rPr>
        <w:t xml:space="preserve">Contrainte réglementaire</w:t>
      </w:r>
      <w:r>
        <w:rPr>
          <w:b/>
          <w:bCs/>
          <w:color w:val="404040"/>
          <w:sz w:val="19"/>
          <w:szCs w:val="19"/>
        </w:rPr>
        <w:t xml:space="preserve"> → </w:t>
      </w:r>
      <w:r>
        <w:t xml:space="preserve">Les données de présence (parking) et météo sont des mesures agrégées ou environnementales, non rattachables à un individu : elles peuvent être diffusées publiquement sans restriction RGPD. À l’inverse, les radars de vitesse et de feux rouges peuvent captur</w:t>
      </w:r>
      <w:r>
        <w:t xml:space="preserve">er une plaque d’immatriculation, donnée à caractère personnel au sens du RGPD : ces flux restent donc strictement confinés au topic restreint, avec minimisation (seule l’infraction constatée est conservée, pas un flux vidéo continu) et une durée de rétenti</w:t>
      </w:r>
      <w:r>
        <w:t xml:space="preserve">on limitée à l’usage légal (contestation d’amende).</w:t>
      </w:r>
      <w:r>
        <w:rPr>
          <w:bCs/>
          <w:i/>
          <w:color w:val="afabab"/>
          <w:sz w:val="19"/>
          <w:szCs w:val="19"/>
          <w:highlight w:val="none"/>
        </w:rPr>
      </w:r>
    </w:p>
    <w:p w14:paraId="0E42002F">
      <w:pPr>
        <w:pBdr>
          <w:bottom w:val="single" w:color="bfbfbf" w:sz="4" w:space="0"/>
        </w:pBdr>
        <w:spacing w:after="160"/>
        <w:ind/>
        <w:rPr>
          <w:rFonts w:ascii="Times New Roman" w:hAnsi="Times New Roman" w:eastAsia="Times New Roman" w:cs="Times New Roman"/>
          <w:color w:val="000000"/>
          <w:sz w:val="24"/>
          <w:szCs w:val="24"/>
          <w:highlight w:val="none"/>
          <w:lang w:val="fr-FR"/>
        </w:rPr>
      </w:pPr>
      <w:r>
        <w:rPr>
          <w:rFonts w:ascii="Times New Roman" w:hAnsi="Times New Roman" w:eastAsia="Times New Roman" w:cs="Times New Roman"/>
          <w:color w:val="000000"/>
          <w:sz w:val="24"/>
          <w:szCs w:val="24"/>
          <w:highlight w:val="none"/>
          <w:lang w:val="fr-FR"/>
        </w:rPr>
      </w:r>
      <w:r>
        <w:rPr>
          <w:rFonts w:ascii="Times New Roman" w:hAnsi="Times New Roman" w:eastAsia="Times New Roman" w:cs="Times New Roman"/>
          <w:color w:val="000000"/>
          <w:sz w:val="24"/>
          <w:szCs w:val="24"/>
          <w:highlight w:val="none"/>
          <w:lang w:val="fr-FR"/>
        </w:rPr>
      </w:r>
      <w:r>
        <w:rPr>
          <w:rFonts w:ascii="Times New Roman" w:hAnsi="Times New Roman" w:eastAsia="Times New Roman" w:cs="Times New Roman"/>
          <w:color w:val="000000"/>
          <w:sz w:val="24"/>
          <w:szCs w:val="24"/>
          <w:highlight w:val="none"/>
          <w:lang w:val="fr-FR"/>
        </w:rPr>
      </w:r>
    </w:p>
    <w:p>
      <w:pPr>
        <w:pStyle w:val="892"/>
        <w:pBdr/>
        <w:spacing w:after="100" w:before="280"/>
        <w:ind/>
        <w:rPr>
          <w:b/>
          <w:bCs/>
          <w:color w:val="1f3864"/>
          <w:sz w:val="26"/>
          <w:szCs w:val="26"/>
          <w:highlight w:val="none"/>
          <w:lang w:val="fr-FR"/>
        </w:rPr>
      </w:pPr>
      <w:r>
        <w:rPr>
          <w:b/>
          <w:bCs/>
          <w:color w:val="1f3864"/>
          <w:sz w:val="26"/>
          <w:szCs w:val="26"/>
          <w:lang w:val="fr-FR"/>
        </w:rPr>
        <w:t xml:space="preserve">3</w:t>
      </w:r>
      <w:r>
        <w:rPr>
          <w:b/>
          <w:bCs/>
          <w:color w:val="1f3864"/>
          <w:sz w:val="26"/>
          <w:szCs w:val="26"/>
        </w:rPr>
        <w:t xml:space="preserve">. Choix de </w:t>
      </w:r>
      <w:r>
        <w:rPr>
          <w:b/>
          <w:bCs/>
          <w:color w:val="1f3864"/>
          <w:sz w:val="26"/>
          <w:szCs w:val="26"/>
          <w:lang w:val="fr-FR"/>
        </w:rPr>
        <w:t xml:space="preserve">protocoles</w:t>
      </w:r>
      <w:r>
        <w:rPr>
          <w:b/>
          <w:bCs/>
          <w:color w:val="1f3864"/>
          <w:sz w:val="26"/>
          <w:szCs w:val="26"/>
          <w:highlight w:val="none"/>
        </w:rPr>
      </w:r>
      <w:r>
        <w:rPr>
          <w:b/>
          <w:bCs/>
          <w:color w:val="1f3864"/>
          <w:sz w:val="26"/>
          <w:szCs w:val="26"/>
          <w:highlight w:val="none"/>
        </w:rPr>
      </w:r>
    </w:p>
    <w:p w14:paraId="18E8E05E">
      <w:pPr>
        <w:pBdr/>
        <w:spacing/>
        <w:ind/>
        <w:rPr/>
      </w:pPr>
      <w:r>
        <w:rPr>
          <w:b/>
          <w:bCs/>
          <w:color w:val="1f3864"/>
          <w:sz w:val="26"/>
          <w:szCs w:val="26"/>
        </w:rPr>
      </w:r>
      <w:r/>
    </w:p>
    <w:tbl>
      <w:tblPr>
        <w:tblInd w:w="-8" w:type="dxa"/>
        <w:tblW w:w="9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8"/>
        <w:gridCol w:w="2800"/>
        <w:gridCol w:w="2800"/>
        <w:gridCol w:w="2300"/>
      </w:tblGrid>
      <w:tr>
        <w:trPr>
          <w:trHeight w:val="293"/>
          <w:tblHeader/>
        </w:trPr>
        <w:tc>
          <w:tcPr>
            <w:shd w:val="clear" w:color="auto" w:fill="1f3864"/>
            <w:tcBorders/>
            <w:tcMar>
              <w:left w:w="80" w:type="dxa"/>
              <w:top w:w="60" w:type="dxa"/>
              <w:right w:w="80" w:type="dxa"/>
              <w:bottom w:w="60" w:type="dxa"/>
            </w:tcMar>
            <w:tcW w:w="1808" w:type="dxa"/>
          </w:tcPr>
          <w:p>
            <w:pPr>
              <w:pBdr/>
              <w:spacing/>
              <w:ind/>
              <w:rPr/>
            </w:pPr>
            <w:r>
              <w:rPr>
                <w:b/>
                <w:bCs/>
                <w:i w:val="0"/>
                <w:iCs w:val="0"/>
                <w:color w:val="ffffff"/>
                <w:sz w:val="17"/>
                <w:szCs w:val="17"/>
              </w:rPr>
              <w:t xml:space="preserve">Critère</w:t>
            </w:r>
            <w:r/>
          </w:p>
        </w:tc>
        <w:tc>
          <w:tcPr>
            <w:shd w:val="clear" w:color="auto" w:fill="1f3864"/>
            <w:tcBorders/>
            <w:tcMar>
              <w:left w:w="80" w:type="dxa"/>
              <w:top w:w="60" w:type="dxa"/>
              <w:right w:w="80" w:type="dxa"/>
              <w:bottom w:w="60" w:type="dxa"/>
            </w:tcMar>
            <w:tcW w:w="2800" w:type="dxa"/>
          </w:tcPr>
          <w:p>
            <w:pPr>
              <w:pBdr/>
              <w:spacing/>
              <w:ind/>
              <w:rPr/>
            </w:pPr>
            <w:r>
              <w:rPr>
                <w:b/>
                <w:bCs/>
                <w:i w:val="0"/>
                <w:iCs w:val="0"/>
                <w:color w:val="ffffff"/>
                <w:sz w:val="17"/>
                <w:szCs w:val="17"/>
              </w:rPr>
              <w:t xml:space="preserve">Option envisagée 1</w:t>
            </w:r>
            <w:r/>
          </w:p>
        </w:tc>
        <w:tc>
          <w:tcPr>
            <w:shd w:val="clear" w:color="auto" w:fill="1f3864"/>
            <w:tcBorders/>
            <w:tcMar>
              <w:left w:w="80" w:type="dxa"/>
              <w:top w:w="60" w:type="dxa"/>
              <w:right w:w="80" w:type="dxa"/>
              <w:bottom w:w="60" w:type="dxa"/>
            </w:tcMar>
            <w:tcW w:w="2800" w:type="dxa"/>
          </w:tcPr>
          <w:p>
            <w:pPr>
              <w:pBdr/>
              <w:spacing/>
              <w:ind/>
              <w:rPr/>
            </w:pPr>
            <w:r>
              <w:rPr>
                <w:b/>
                <w:bCs/>
                <w:i w:val="0"/>
                <w:iCs w:val="0"/>
                <w:color w:val="ffffff"/>
                <w:sz w:val="17"/>
                <w:szCs w:val="17"/>
              </w:rPr>
              <w:t xml:space="preserve">Option envisagée 2</w:t>
            </w:r>
            <w:r/>
          </w:p>
        </w:tc>
        <w:tc>
          <w:tcPr>
            <w:shd w:val="clear" w:color="auto" w:fill="1f3864"/>
            <w:tcBorders/>
            <w:tcMar>
              <w:left w:w="80" w:type="dxa"/>
              <w:top w:w="60" w:type="dxa"/>
              <w:right w:w="80" w:type="dxa"/>
              <w:bottom w:w="60" w:type="dxa"/>
            </w:tcMar>
            <w:tcW w:w="2300" w:type="dxa"/>
          </w:tcPr>
          <w:p>
            <w:pPr>
              <w:pBdr/>
              <w:spacing/>
              <w:ind/>
              <w:rPr/>
            </w:pPr>
            <w:r>
              <w:rPr>
                <w:b/>
                <w:bCs/>
                <w:i w:val="0"/>
                <w:iCs w:val="0"/>
                <w:color w:val="ffffff"/>
                <w:sz w:val="17"/>
                <w:szCs w:val="17"/>
              </w:rPr>
              <w:t xml:space="preserve">Option </w:t>
            </w:r>
            <w:r>
              <w:rPr>
                <w:b/>
                <w:bCs/>
                <w:i w:val="0"/>
                <w:iCs w:val="0"/>
                <w:color w:val="ffffff"/>
                <w:sz w:val="17"/>
                <w:szCs w:val="17"/>
                <w:lang w:val="fr-FR"/>
              </w:rPr>
              <w:t xml:space="preserve">envisagé </w:t>
            </w:r>
            <w:r>
              <w:rPr>
                <w:b/>
                <w:bCs/>
                <w:i w:val="0"/>
                <w:iCs w:val="0"/>
                <w:color w:val="ffffff"/>
                <w:sz w:val="17"/>
                <w:szCs w:val="17"/>
                <w:lang w:val="fr-FR"/>
              </w:rPr>
              <w:t xml:space="preserve">3</w:t>
            </w:r>
            <w:r/>
          </w:p>
        </w:tc>
      </w:tr>
      <w:tr>
        <w:trPr>
          <w:trHeight w:val="0"/>
        </w:trPr>
        <w:tc>
          <w:tcPr>
            <w:shd w:val="clear" w:color="ffffff" w:fill="f2f2f2"/>
            <w:tcBorders/>
            <w:tcMar>
              <w:left w:w="80" w:type="dxa"/>
              <w:top w:w="60" w:type="dxa"/>
              <w:right w:w="80" w:type="dxa"/>
              <w:bottom w:w="60" w:type="dxa"/>
            </w:tcMar>
            <w:tcW w:w="1808" w:type="dxa"/>
            <w:vMerge w:val="restart"/>
          </w:tcPr>
          <w:p w14:paraId="0610895C">
            <w:pPr>
              <w:pBdr/>
              <w:spacing w:after="0" w:before="0" w:line="240" w:lineRule="auto"/>
              <w:ind/>
              <w:rPr>
                <w:rFonts w:ascii="Times New Roman" w:hAnsi="Times New Roman" w:eastAsia="Times New Roman" w:cs="Times New Roman"/>
                <w:b/>
                <w:color w:val="000000"/>
                <w:sz w:val="20"/>
                <w:szCs w:val="16"/>
              </w:rPr>
            </w:pPr>
            <w:r>
              <w:rPr>
                <w:rFonts w:ascii="Times New Roman" w:hAnsi="Times New Roman" w:eastAsia="Times New Roman" w:cs="Times New Roman"/>
                <w:b/>
                <w:color w:val="000000"/>
                <w:sz w:val="20"/>
                <w:szCs w:val="16"/>
                <w:lang w:val="fr-FR"/>
              </w:rPr>
              <w:t xml:space="preserve">Protocole</w:t>
            </w:r>
            <w:r>
              <w:rPr>
                <w:rFonts w:ascii="Times New Roman" w:hAnsi="Times New Roman" w:eastAsia="Times New Roman" w:cs="Times New Roman"/>
                <w:b/>
                <w:color w:val="000000"/>
                <w:sz w:val="20"/>
                <w:szCs w:val="16"/>
              </w:rPr>
            </w:r>
            <w:r>
              <w:rPr>
                <w:rFonts w:ascii="Times New Roman" w:hAnsi="Times New Roman" w:eastAsia="Times New Roman" w:cs="Times New Roman"/>
                <w:b/>
                <w:color w:val="000000"/>
                <w:sz w:val="20"/>
                <w:szCs w:val="16"/>
              </w:rPr>
            </w:r>
          </w:p>
        </w:tc>
        <w:tc>
          <w:tcPr>
            <w:tcBorders/>
            <w:tcMar>
              <w:left w:w="80" w:type="dxa"/>
              <w:top w:w="60" w:type="dxa"/>
              <w:right w:w="80" w:type="dxa"/>
              <w:bottom w:w="60" w:type="dxa"/>
            </w:tcMar>
            <w:tcW w:w="2800" w:type="dxa"/>
            <w:vMerge w:val="restart"/>
          </w:tcPr>
          <w:p w14:paraId="446C764E">
            <w:pPr>
              <w:pBdr/>
              <w:spacing w:after="0" w:before="0" w:line="240" w:lineRule="auto"/>
              <w:ind/>
              <w:rPr>
                <w:rFonts w:ascii="Times New Roman" w:hAnsi="Times New Roman" w:eastAsia="Times New Roman" w:cs="Times New Roman"/>
                <w:color w:val="000000"/>
                <w:sz w:val="20"/>
                <w:szCs w:val="16"/>
              </w:rPr>
            </w:pPr>
            <w:r>
              <w:rPr>
                <w:rFonts w:ascii="Times New Roman" w:hAnsi="Times New Roman" w:eastAsia="Times New Roman" w:cs="Times New Roman"/>
                <w:color w:val="000000"/>
                <w:sz w:val="20"/>
                <w:szCs w:val="16"/>
                <w:lang w:val="fr-FR"/>
              </w:rPr>
              <w:t xml:space="preserve">LoRaWAN</w:t>
            </w:r>
            <w:r>
              <w:rPr>
                <w:rFonts w:ascii="Times New Roman" w:hAnsi="Times New Roman" w:eastAsia="Times New Roman" w:cs="Times New Roman"/>
                <w:color w:val="000000"/>
                <w:sz w:val="20"/>
                <w:szCs w:val="16"/>
              </w:rPr>
            </w:r>
            <w:r>
              <w:rPr>
                <w:rFonts w:ascii="Times New Roman" w:hAnsi="Times New Roman" w:eastAsia="Times New Roman" w:cs="Times New Roman"/>
                <w:color w:val="000000"/>
                <w:sz w:val="20"/>
                <w:szCs w:val="16"/>
              </w:rPr>
            </w:r>
          </w:p>
        </w:tc>
        <w:tc>
          <w:tcPr>
            <w:tcBorders/>
            <w:tcMar>
              <w:left w:w="80" w:type="dxa"/>
              <w:top w:w="60" w:type="dxa"/>
              <w:right w:w="80" w:type="dxa"/>
              <w:bottom w:w="60" w:type="dxa"/>
            </w:tcMar>
            <w:tcW w:w="2800" w:type="dxa"/>
            <w:vMerge w:val="restart"/>
          </w:tcPr>
          <w:p w14:paraId="7E689478">
            <w:pPr>
              <w:pBdr/>
              <w:spacing w:after="0" w:before="0" w:line="240" w:lineRule="auto"/>
              <w:ind/>
              <w:rPr>
                <w:rFonts w:ascii="Times New Roman" w:hAnsi="Times New Roman" w:eastAsia="Times New Roman" w:cs="Times New Roman"/>
                <w:color w:val="000000"/>
                <w:sz w:val="20"/>
                <w:szCs w:val="16"/>
              </w:rPr>
            </w:pPr>
            <w:r>
              <w:rPr>
                <w:rFonts w:ascii="Times New Roman" w:hAnsi="Times New Roman" w:eastAsia="Times New Roman" w:cs="Times New Roman"/>
                <w:color w:val="000000"/>
                <w:sz w:val="20"/>
                <w:szCs w:val="16"/>
                <w:lang w:val="fr-FR"/>
              </w:rPr>
              <w:t xml:space="preserve">WIFI</w:t>
            </w:r>
            <w:r>
              <w:rPr>
                <w:rFonts w:ascii="Times New Roman" w:hAnsi="Times New Roman" w:eastAsia="Times New Roman" w:cs="Times New Roman"/>
                <w:color w:val="000000"/>
                <w:sz w:val="20"/>
                <w:szCs w:val="16"/>
              </w:rPr>
            </w:r>
            <w:r>
              <w:rPr>
                <w:rFonts w:ascii="Times New Roman" w:hAnsi="Times New Roman" w:eastAsia="Times New Roman" w:cs="Times New Roman"/>
                <w:color w:val="000000"/>
                <w:sz w:val="20"/>
                <w:szCs w:val="16"/>
              </w:rPr>
            </w:r>
          </w:p>
        </w:tc>
        <w:tc>
          <w:tcPr>
            <w:tcBorders/>
            <w:tcMar>
              <w:left w:w="80" w:type="dxa"/>
              <w:top w:w="60" w:type="dxa"/>
              <w:right w:w="80" w:type="dxa"/>
              <w:bottom w:w="60" w:type="dxa"/>
            </w:tcMar>
            <w:tcW w:w="2300" w:type="dxa"/>
            <w:vMerge w:val="restart"/>
          </w:tcPr>
          <w:p w14:paraId="47D160FB">
            <w:pPr>
              <w:pBdr/>
              <w:spacing w:after="0" w:before="0" w:line="240" w:lineRule="auto"/>
              <w:ind/>
              <w:rPr>
                <w:rFonts w:ascii="Times New Roman" w:hAnsi="Times New Roman" w:eastAsia="Times New Roman" w:cs="Times New Roman"/>
                <w:color w:val="000000"/>
                <w:sz w:val="20"/>
                <w:szCs w:val="16"/>
              </w:rPr>
            </w:pPr>
            <w:r>
              <w:rPr>
                <w:rFonts w:ascii="Times New Roman" w:hAnsi="Times New Roman" w:eastAsia="Times New Roman" w:cs="Times New Roman"/>
                <w:color w:val="000000"/>
                <w:sz w:val="20"/>
                <w:szCs w:val="16"/>
              </w:rPr>
            </w:r>
            <w:r>
              <w:t xml:space="preserve">Ethernet</w:t>
            </w:r>
            <w:r>
              <w:rPr>
                <w:rFonts w:ascii="Times New Roman" w:hAnsi="Times New Roman" w:eastAsia="Times New Roman" w:cs="Times New Roman"/>
                <w:color w:val="000000"/>
                <w:sz w:val="20"/>
                <w:szCs w:val="16"/>
              </w:rPr>
            </w:r>
            <w:r>
              <w:rPr>
                <w:rFonts w:ascii="Times New Roman" w:hAnsi="Times New Roman" w:eastAsia="Times New Roman" w:cs="Times New Roman"/>
                <w:color w:val="000000"/>
                <w:sz w:val="20"/>
                <w:szCs w:val="16"/>
              </w:rPr>
            </w:r>
          </w:p>
        </w:tc>
      </w:tr>
      <w:tr>
        <w:trPr>
          <w:trHeight w:val="0"/>
        </w:trPr>
        <w:tc>
          <w:tcPr>
            <w:shd w:val="clear" w:color="ffffff" w:fill="f2f2f2"/>
            <w:tcBorders/>
            <w:tcMar>
              <w:left w:w="80" w:type="dxa"/>
              <w:top w:w="60" w:type="dxa"/>
              <w:right w:w="80" w:type="dxa"/>
              <w:bottom w:w="60" w:type="dxa"/>
            </w:tcMar>
            <w:tcW w:w="1808" w:type="dxa"/>
            <w:vMerge w:val="restart"/>
          </w:tcPr>
          <w:p w14:paraId="68977397">
            <w:pPr>
              <w:pBdr/>
              <w:spacing w:after="0" w:before="0" w:line="240" w:lineRule="auto"/>
              <w:ind/>
              <w:rPr>
                <w:sz w:val="16"/>
                <w:szCs w:val="16"/>
              </w:rPr>
            </w:pPr>
            <w:r>
              <w:rPr>
                <w:rFonts w:ascii="Times New Roman" w:hAnsi="Times New Roman" w:eastAsia="Times New Roman" w:cs="Times New Roman"/>
                <w:b/>
                <w:color w:val="000000"/>
                <w:sz w:val="20"/>
                <w:szCs w:val="16"/>
              </w:rPr>
              <w:t xml:space="preserve">Portée</w:t>
            </w:r>
            <w:r>
              <w:rPr>
                <w:sz w:val="16"/>
                <w:szCs w:val="16"/>
              </w:rPr>
            </w:r>
            <w:r>
              <w:rPr>
                <w:sz w:val="16"/>
                <w:szCs w:val="16"/>
              </w:rPr>
            </w:r>
          </w:p>
        </w:tc>
        <w:tc>
          <w:tcPr>
            <w:tcBorders/>
            <w:tcMar>
              <w:left w:w="80" w:type="dxa"/>
              <w:top w:w="60" w:type="dxa"/>
              <w:right w:w="80" w:type="dxa"/>
              <w:bottom w:w="60" w:type="dxa"/>
            </w:tcMar>
            <w:tcW w:w="2800" w:type="dxa"/>
            <w:vMerge w:val="restart"/>
          </w:tcPr>
          <w:p w14:paraId="70D82D84">
            <w:pPr>
              <w:pBdr/>
              <w:spacing w:after="0" w:before="0" w:line="240" w:lineRule="auto"/>
              <w:ind/>
              <w:rPr>
                <w:sz w:val="16"/>
                <w:szCs w:val="16"/>
              </w:rPr>
            </w:pPr>
            <w:r>
              <w:rPr>
                <w:rFonts w:ascii="Times New Roman" w:hAnsi="Times New Roman" w:eastAsia="Times New Roman" w:cs="Times New Roman"/>
                <w:color w:val="000000"/>
                <w:sz w:val="20"/>
                <w:szCs w:val="16"/>
              </w:rPr>
              <w:t xml:space="preserve">2–5 km en zone urbaine, jusqu’à 15 km en zone dégagée</w:t>
            </w:r>
            <w:r>
              <w:rPr>
                <w:sz w:val="16"/>
                <w:szCs w:val="16"/>
              </w:rPr>
            </w:r>
            <w:r>
              <w:rPr>
                <w:sz w:val="16"/>
                <w:szCs w:val="16"/>
              </w:rPr>
            </w:r>
          </w:p>
        </w:tc>
        <w:tc>
          <w:tcPr>
            <w:tcBorders/>
            <w:tcMar>
              <w:left w:w="80" w:type="dxa"/>
              <w:top w:w="60" w:type="dxa"/>
              <w:right w:w="80" w:type="dxa"/>
              <w:bottom w:w="60" w:type="dxa"/>
            </w:tcMar>
            <w:tcW w:w="2800" w:type="dxa"/>
            <w:vMerge w:val="restart"/>
          </w:tcPr>
          <w:p w14:paraId="79B72E40">
            <w:pPr>
              <w:pBdr/>
              <w:spacing w:after="0" w:before="0" w:line="240" w:lineRule="auto"/>
              <w:ind/>
              <w:rPr>
                <w:sz w:val="16"/>
                <w:szCs w:val="16"/>
              </w:rPr>
            </w:pPr>
            <w:r>
              <w:rPr>
                <w:rFonts w:ascii="Times New Roman" w:hAnsi="Times New Roman" w:eastAsia="Times New Roman" w:cs="Times New Roman"/>
                <w:color w:val="000000"/>
                <w:sz w:val="20"/>
                <w:szCs w:val="16"/>
              </w:rPr>
              <w:t xml:space="preserve">30–100 m en intérieur</w:t>
            </w:r>
            <w:r>
              <w:rPr>
                <w:sz w:val="16"/>
                <w:szCs w:val="16"/>
              </w:rPr>
            </w:r>
            <w:r>
              <w:rPr>
                <w:sz w:val="16"/>
                <w:szCs w:val="16"/>
              </w:rPr>
            </w:r>
          </w:p>
        </w:tc>
        <w:tc>
          <w:tcPr>
            <w:tcBorders/>
            <w:tcMar>
              <w:left w:w="80" w:type="dxa"/>
              <w:top w:w="60" w:type="dxa"/>
              <w:right w:w="80" w:type="dxa"/>
              <w:bottom w:w="60" w:type="dxa"/>
            </w:tcMar>
            <w:tcW w:w="2300" w:type="dxa"/>
            <w:vMerge w:val="restart"/>
          </w:tcPr>
          <w:p w14:paraId="7F30C1BE">
            <w:pPr>
              <w:pBdr/>
              <w:spacing w:after="0" w:before="0" w:line="240" w:lineRule="auto"/>
              <w:ind/>
              <w:rPr>
                <w:sz w:val="16"/>
                <w:szCs w:val="16"/>
              </w:rPr>
            </w:pPr>
            <w:r>
              <w:rPr>
                <w:rFonts w:ascii="Times New Roman" w:hAnsi="Times New Roman" w:eastAsia="Times New Roman" w:cs="Times New Roman"/>
                <w:color w:val="000000"/>
                <w:sz w:val="20"/>
                <w:szCs w:val="16"/>
              </w:rPr>
              <w:t xml:space="preserve">Dépend du câblage (quelques mètres à plusieurs centaines de mètres)</w:t>
            </w:r>
            <w:r>
              <w:rPr>
                <w:sz w:val="16"/>
                <w:szCs w:val="16"/>
              </w:rPr>
            </w:r>
            <w:r>
              <w:rPr>
                <w:sz w:val="16"/>
                <w:szCs w:val="16"/>
              </w:rPr>
            </w:r>
          </w:p>
        </w:tc>
      </w:tr>
      <w:tr>
        <w:trPr>
          <w:trHeight w:val="0"/>
        </w:trPr>
        <w:tc>
          <w:tcPr>
            <w:shd w:val="clear" w:color="auto" w:fill="f2f2f2"/>
            <w:tcBorders/>
            <w:tcMar>
              <w:left w:w="80" w:type="dxa"/>
              <w:top w:w="60" w:type="dxa"/>
              <w:right w:w="80" w:type="dxa"/>
              <w:bottom w:w="60" w:type="dxa"/>
            </w:tcMar>
            <w:tcW w:w="1808" w:type="dxa"/>
          </w:tcPr>
          <w:p w14:paraId="6F7BB3D7">
            <w:pPr>
              <w:pBdr/>
              <w:spacing w:after="0" w:before="0" w:line="240" w:lineRule="auto"/>
              <w:ind/>
              <w:rPr>
                <w:sz w:val="16"/>
                <w:szCs w:val="16"/>
              </w:rPr>
            </w:pPr>
            <w:r>
              <w:rPr>
                <w:rFonts w:ascii="Times New Roman" w:hAnsi="Times New Roman" w:eastAsia="Times New Roman" w:cs="Times New Roman"/>
                <w:b/>
                <w:color w:val="000000"/>
                <w:sz w:val="20"/>
                <w:szCs w:val="16"/>
              </w:rPr>
              <w:t xml:space="preserve">Débit</w:t>
            </w:r>
            <w:r>
              <w:rPr>
                <w:sz w:val="16"/>
                <w:szCs w:val="16"/>
              </w:rPr>
            </w:r>
            <w:r>
              <w:rPr>
                <w:sz w:val="16"/>
                <w:szCs w:val="16"/>
              </w:rPr>
            </w:r>
          </w:p>
        </w:tc>
        <w:tc>
          <w:tcPr>
            <w:tcBorders/>
            <w:tcMar>
              <w:left w:w="80" w:type="dxa"/>
              <w:top w:w="60" w:type="dxa"/>
              <w:right w:w="80" w:type="dxa"/>
              <w:bottom w:w="60" w:type="dxa"/>
            </w:tcMar>
            <w:tcW w:w="2800" w:type="dxa"/>
          </w:tcPr>
          <w:p w14:paraId="0F97A902">
            <w:pPr>
              <w:pBdr/>
              <w:spacing w:after="0" w:before="0" w:line="240" w:lineRule="auto"/>
              <w:ind/>
              <w:rPr>
                <w:sz w:val="16"/>
                <w:szCs w:val="16"/>
              </w:rPr>
            </w:pPr>
            <w:r>
              <w:rPr>
                <w:rFonts w:ascii="Times New Roman" w:hAnsi="Times New Roman" w:eastAsia="Times New Roman" w:cs="Times New Roman"/>
                <w:color w:val="000000"/>
                <w:sz w:val="20"/>
                <w:szCs w:val="16"/>
              </w:rPr>
              <w:t xml:space="preserve">Très faible : ~0,3 à 50 kbps</w:t>
            </w:r>
            <w:r>
              <w:rPr>
                <w:sz w:val="16"/>
                <w:szCs w:val="16"/>
              </w:rPr>
            </w:r>
            <w:r>
              <w:rPr>
                <w:sz w:val="16"/>
                <w:szCs w:val="16"/>
              </w:rPr>
            </w:r>
          </w:p>
        </w:tc>
        <w:tc>
          <w:tcPr>
            <w:tcBorders/>
            <w:tcMar>
              <w:left w:w="80" w:type="dxa"/>
              <w:top w:w="60" w:type="dxa"/>
              <w:right w:w="80" w:type="dxa"/>
              <w:bottom w:w="60" w:type="dxa"/>
            </w:tcMar>
            <w:tcW w:w="2800" w:type="dxa"/>
          </w:tcPr>
          <w:p w14:paraId="090A99CB">
            <w:pPr>
              <w:pBdr/>
              <w:spacing w:after="0" w:before="0" w:line="240" w:lineRule="auto"/>
              <w:ind/>
              <w:rPr>
                <w:sz w:val="16"/>
                <w:szCs w:val="16"/>
              </w:rPr>
            </w:pPr>
            <w:r>
              <w:rPr>
                <w:rFonts w:ascii="Times New Roman" w:hAnsi="Times New Roman" w:eastAsia="Times New Roman" w:cs="Times New Roman"/>
                <w:color w:val="000000"/>
                <w:sz w:val="20"/>
                <w:szCs w:val="16"/>
              </w:rPr>
              <w:t xml:space="preserve">Élevé : plusieurs centaines de Mbps</w:t>
            </w:r>
            <w:r>
              <w:rPr>
                <w:sz w:val="16"/>
                <w:szCs w:val="16"/>
              </w:rPr>
            </w:r>
            <w:r>
              <w:rPr>
                <w:sz w:val="16"/>
                <w:szCs w:val="16"/>
              </w:rPr>
            </w:r>
          </w:p>
        </w:tc>
        <w:tc>
          <w:tcPr>
            <w:tcBorders/>
            <w:tcMar>
              <w:left w:w="80" w:type="dxa"/>
              <w:top w:w="60" w:type="dxa"/>
              <w:right w:w="80" w:type="dxa"/>
              <w:bottom w:w="60" w:type="dxa"/>
            </w:tcMar>
            <w:tcW w:w="2300" w:type="dxa"/>
          </w:tcPr>
          <w:p w14:paraId="47241D69">
            <w:pPr>
              <w:pBdr/>
              <w:spacing w:after="0" w:before="0" w:line="240" w:lineRule="auto"/>
              <w:ind/>
              <w:rPr>
                <w:sz w:val="16"/>
                <w:szCs w:val="16"/>
              </w:rPr>
            </w:pPr>
            <w:r>
              <w:rPr>
                <w:rFonts w:ascii="Times New Roman" w:hAnsi="Times New Roman" w:eastAsia="Times New Roman" w:cs="Times New Roman"/>
                <w:color w:val="000000"/>
                <w:sz w:val="20"/>
                <w:szCs w:val="16"/>
              </w:rPr>
              <w:t xml:space="preserve">Très élevé : 100 Mbps à plusieurs Gbps</w:t>
            </w:r>
            <w:r>
              <w:rPr>
                <w:sz w:val="16"/>
                <w:szCs w:val="16"/>
              </w:rPr>
            </w:r>
            <w:r>
              <w:rPr>
                <w:sz w:val="16"/>
                <w:szCs w:val="16"/>
              </w:rPr>
            </w:r>
          </w:p>
        </w:tc>
      </w:tr>
      <w:tr>
        <w:trPr/>
        <w:tc>
          <w:tcPr>
            <w:shd w:val="clear" w:color="auto" w:fill="f2f2f2"/>
            <w:tcBorders/>
            <w:tcMar>
              <w:left w:w="80" w:type="dxa"/>
              <w:top w:w="60" w:type="dxa"/>
              <w:right w:w="80" w:type="dxa"/>
              <w:bottom w:w="60" w:type="dxa"/>
            </w:tcMar>
            <w:tcW w:w="1808" w:type="dxa"/>
          </w:tcPr>
          <w:p w14:paraId="0FBBDD7D">
            <w:pPr>
              <w:pBdr/>
              <w:spacing w:after="0" w:before="0" w:line="240" w:lineRule="auto"/>
              <w:ind/>
              <w:rPr>
                <w:sz w:val="16"/>
                <w:szCs w:val="16"/>
              </w:rPr>
            </w:pPr>
            <w:r>
              <w:rPr>
                <w:rFonts w:ascii="Times New Roman" w:hAnsi="Times New Roman" w:eastAsia="Times New Roman" w:cs="Times New Roman"/>
                <w:b/>
                <w:color w:val="000000"/>
                <w:sz w:val="20"/>
                <w:szCs w:val="16"/>
              </w:rPr>
              <w:t xml:space="preserve">Énergie / autonomie</w:t>
            </w:r>
            <w:r>
              <w:rPr>
                <w:sz w:val="16"/>
                <w:szCs w:val="16"/>
              </w:rPr>
            </w:r>
            <w:r>
              <w:rPr>
                <w:sz w:val="16"/>
                <w:szCs w:val="16"/>
              </w:rPr>
            </w:r>
          </w:p>
        </w:tc>
        <w:tc>
          <w:tcPr>
            <w:tcBorders/>
            <w:tcMar>
              <w:left w:w="80" w:type="dxa"/>
              <w:top w:w="60" w:type="dxa"/>
              <w:right w:w="80" w:type="dxa"/>
              <w:bottom w:w="60" w:type="dxa"/>
            </w:tcMar>
            <w:tcW w:w="2800" w:type="dxa"/>
          </w:tcPr>
          <w:p w14:paraId="75A48302">
            <w:pPr>
              <w:pBdr/>
              <w:spacing w:after="0" w:before="0" w:line="240" w:lineRule="auto"/>
              <w:ind/>
              <w:rPr>
                <w:sz w:val="16"/>
                <w:szCs w:val="16"/>
              </w:rPr>
            </w:pPr>
            <w:r>
              <w:rPr>
                <w:rFonts w:ascii="Times New Roman" w:hAnsi="Times New Roman" w:eastAsia="Times New Roman" w:cs="Times New Roman"/>
                <w:color w:val="000000"/>
                <w:sz w:val="20"/>
                <w:szCs w:val="16"/>
              </w:rPr>
              <w:t xml:space="preserve">Très faible conso, plusieurs années sur pile</w:t>
            </w:r>
            <w:r>
              <w:rPr>
                <w:sz w:val="16"/>
                <w:szCs w:val="16"/>
              </w:rPr>
            </w:r>
            <w:r>
              <w:rPr>
                <w:sz w:val="16"/>
                <w:szCs w:val="16"/>
              </w:rPr>
            </w:r>
          </w:p>
        </w:tc>
        <w:tc>
          <w:tcPr>
            <w:tcBorders/>
            <w:tcMar>
              <w:left w:w="80" w:type="dxa"/>
              <w:top w:w="60" w:type="dxa"/>
              <w:right w:w="80" w:type="dxa"/>
              <w:bottom w:w="60" w:type="dxa"/>
            </w:tcMar>
            <w:tcW w:w="2800" w:type="dxa"/>
          </w:tcPr>
          <w:p w14:paraId="1D43C34E">
            <w:pPr>
              <w:pBdr/>
              <w:spacing w:after="0" w:before="0" w:line="240" w:lineRule="auto"/>
              <w:ind/>
              <w:rPr>
                <w:sz w:val="16"/>
                <w:szCs w:val="16"/>
              </w:rPr>
            </w:pPr>
            <w:r>
              <w:rPr>
                <w:rFonts w:ascii="Times New Roman" w:hAnsi="Times New Roman" w:eastAsia="Times New Roman" w:cs="Times New Roman"/>
                <w:color w:val="000000"/>
                <w:sz w:val="20"/>
                <w:szCs w:val="16"/>
              </w:rPr>
              <w:t xml:space="preserve">Conso élevée, alimentation secteur continue requise</w:t>
            </w:r>
            <w:r>
              <w:rPr>
                <w:sz w:val="16"/>
                <w:szCs w:val="16"/>
              </w:rPr>
            </w:r>
            <w:r>
              <w:rPr>
                <w:sz w:val="16"/>
                <w:szCs w:val="16"/>
              </w:rPr>
            </w:r>
          </w:p>
        </w:tc>
        <w:tc>
          <w:tcPr>
            <w:tcBorders/>
            <w:tcMar>
              <w:left w:w="80" w:type="dxa"/>
              <w:top w:w="60" w:type="dxa"/>
              <w:right w:w="80" w:type="dxa"/>
              <w:bottom w:w="60" w:type="dxa"/>
            </w:tcMar>
            <w:tcW w:w="2300" w:type="dxa"/>
          </w:tcPr>
          <w:p w14:paraId="6D0B81F4">
            <w:pPr>
              <w:pBdr/>
              <w:spacing w:after="0" w:before="0" w:line="240" w:lineRule="auto"/>
              <w:ind/>
              <w:rPr>
                <w:sz w:val="16"/>
                <w:szCs w:val="16"/>
              </w:rPr>
            </w:pPr>
            <w:r>
              <w:rPr>
                <w:rFonts w:ascii="Times New Roman" w:hAnsi="Times New Roman" w:eastAsia="Times New Roman" w:cs="Times New Roman"/>
                <w:color w:val="000000"/>
                <w:sz w:val="20"/>
                <w:szCs w:val="16"/>
              </w:rPr>
              <w:t xml:space="preserve">Conso élevée, alimentation secteur continue requise</w:t>
            </w:r>
            <w:r>
              <w:rPr>
                <w:sz w:val="16"/>
                <w:szCs w:val="16"/>
              </w:rPr>
            </w:r>
            <w:r>
              <w:rPr>
                <w:sz w:val="16"/>
                <w:szCs w:val="16"/>
              </w:rPr>
            </w:r>
          </w:p>
        </w:tc>
      </w:tr>
      <w:tr>
        <w:trPr/>
        <w:tc>
          <w:tcPr>
            <w:shd w:val="clear" w:color="auto" w:fill="f2f2f2"/>
            <w:tcBorders/>
            <w:tcMar>
              <w:left w:w="80" w:type="dxa"/>
              <w:top w:w="60" w:type="dxa"/>
              <w:right w:w="80" w:type="dxa"/>
              <w:bottom w:w="60" w:type="dxa"/>
            </w:tcMar>
            <w:tcW w:w="1808" w:type="dxa"/>
          </w:tcPr>
          <w:p w14:paraId="2C1EE130">
            <w:pPr>
              <w:pBdr/>
              <w:spacing w:after="0" w:before="0" w:line="240" w:lineRule="auto"/>
              <w:ind/>
              <w:rPr>
                <w:sz w:val="16"/>
                <w:szCs w:val="16"/>
              </w:rPr>
            </w:pPr>
            <w:r>
              <w:rPr>
                <w:rFonts w:ascii="Times New Roman" w:hAnsi="Times New Roman" w:eastAsia="Times New Roman" w:cs="Times New Roman"/>
                <w:b/>
                <w:color w:val="000000"/>
                <w:sz w:val="20"/>
                <w:szCs w:val="16"/>
              </w:rPr>
              <w:t xml:space="preserve">Coût / échelle (milliers d’objets)</w:t>
            </w:r>
            <w:r>
              <w:rPr>
                <w:sz w:val="16"/>
                <w:szCs w:val="16"/>
              </w:rPr>
            </w:r>
            <w:r>
              <w:rPr>
                <w:sz w:val="16"/>
                <w:szCs w:val="16"/>
              </w:rPr>
            </w:r>
          </w:p>
        </w:tc>
        <w:tc>
          <w:tcPr>
            <w:tcBorders/>
            <w:tcMar>
              <w:left w:w="80" w:type="dxa"/>
              <w:top w:w="60" w:type="dxa"/>
              <w:right w:w="80" w:type="dxa"/>
              <w:bottom w:w="60" w:type="dxa"/>
            </w:tcMar>
            <w:tcW w:w="2800" w:type="dxa"/>
          </w:tcPr>
          <w:p w14:paraId="175C83EF">
            <w:pPr>
              <w:pBdr/>
              <w:spacing w:after="0" w:before="0" w:line="240" w:lineRule="auto"/>
              <w:ind/>
              <w:rPr>
                <w:sz w:val="16"/>
                <w:szCs w:val="16"/>
              </w:rPr>
            </w:pPr>
            <w:r>
              <w:rPr>
                <w:rFonts w:ascii="Times New Roman" w:hAnsi="Times New Roman" w:eastAsia="Times New Roman" w:cs="Times New Roman"/>
                <w:color w:val="000000"/>
                <w:sz w:val="20"/>
                <w:szCs w:val="16"/>
              </w:rPr>
              <w:t xml:space="preserve">Faible coût par objet, une seule passerelle peut couvrir des milliers de capteurs dispersés</w:t>
            </w:r>
            <w:r>
              <w:rPr>
                <w:sz w:val="16"/>
                <w:szCs w:val="16"/>
              </w:rPr>
            </w:r>
            <w:r>
              <w:rPr>
                <w:sz w:val="16"/>
                <w:szCs w:val="16"/>
              </w:rPr>
            </w:r>
          </w:p>
        </w:tc>
        <w:tc>
          <w:tcPr>
            <w:tcBorders/>
            <w:tcMar>
              <w:left w:w="80" w:type="dxa"/>
              <w:top w:w="60" w:type="dxa"/>
              <w:right w:w="80" w:type="dxa"/>
              <w:bottom w:w="60" w:type="dxa"/>
            </w:tcMar>
            <w:tcW w:w="2800" w:type="dxa"/>
          </w:tcPr>
          <w:p w14:paraId="5AB84639">
            <w:pPr>
              <w:pBdr/>
              <w:spacing w:after="0" w:before="0" w:line="240" w:lineRule="auto"/>
              <w:ind/>
              <w:rPr>
                <w:sz w:val="16"/>
                <w:szCs w:val="16"/>
              </w:rPr>
            </w:pPr>
            <w:r>
              <w:rPr>
                <w:rFonts w:ascii="Times New Roman" w:hAnsi="Times New Roman" w:eastAsia="Times New Roman" w:cs="Times New Roman"/>
                <w:color w:val="000000"/>
                <w:sz w:val="20"/>
                <w:szCs w:val="16"/>
              </w:rPr>
              <w:t xml:space="preserve">Coût modéré par objet, mais forte densité de points d’accès nécessaire pour couvrir toute la ville</w:t>
            </w:r>
            <w:r>
              <w:rPr>
                <w:sz w:val="16"/>
                <w:szCs w:val="16"/>
              </w:rPr>
            </w:r>
            <w:r>
              <w:rPr>
                <w:sz w:val="16"/>
                <w:szCs w:val="16"/>
              </w:rPr>
            </w:r>
          </w:p>
        </w:tc>
        <w:tc>
          <w:tcPr>
            <w:tcBorders/>
            <w:tcMar>
              <w:left w:w="80" w:type="dxa"/>
              <w:top w:w="60" w:type="dxa"/>
              <w:right w:w="80" w:type="dxa"/>
              <w:bottom w:w="60" w:type="dxa"/>
            </w:tcMar>
            <w:tcW w:w="2300" w:type="dxa"/>
          </w:tcPr>
          <w:p w14:paraId="2BBB9452">
            <w:pPr>
              <w:pBdr/>
              <w:spacing w:after="0" w:before="0" w:line="240" w:lineRule="auto"/>
              <w:ind/>
              <w:rPr>
                <w:sz w:val="16"/>
                <w:szCs w:val="16"/>
              </w:rPr>
            </w:pPr>
            <w:r>
              <w:rPr>
                <w:rFonts w:ascii="Times New Roman" w:hAnsi="Times New Roman" w:eastAsia="Times New Roman" w:cs="Times New Roman"/>
                <w:color w:val="000000"/>
                <w:sz w:val="20"/>
                <w:szCs w:val="16"/>
              </w:rPr>
              <w:t xml:space="preserve">Coût par objet faible, mais câblage coûteux à grande échelle ; adapté aux sites fixes déjà câblés (parking, mât radar)</w:t>
            </w:r>
            <w:r>
              <w:rPr>
                <w:sz w:val="16"/>
                <w:szCs w:val="16"/>
              </w:rPr>
            </w:r>
            <w:r>
              <w:rPr>
                <w:sz w:val="16"/>
                <w:szCs w:val="16"/>
              </w:rPr>
            </w:r>
          </w:p>
        </w:tc>
      </w:tr>
      <w:tr>
        <w:trPr/>
        <w:tc>
          <w:tcPr>
            <w:shd w:val="clear" w:color="auto" w:fill="f2f2f2"/>
            <w:tcBorders/>
            <w:tcMar>
              <w:left w:w="80" w:type="dxa"/>
              <w:top w:w="60" w:type="dxa"/>
              <w:right w:w="80" w:type="dxa"/>
              <w:bottom w:w="60" w:type="dxa"/>
            </w:tcMar>
            <w:tcW w:w="1808" w:type="dxa"/>
          </w:tcPr>
          <w:p w14:paraId="29659618">
            <w:pPr>
              <w:pBdr/>
              <w:spacing w:after="0" w:before="0" w:line="240" w:lineRule="auto"/>
              <w:ind/>
              <w:rPr>
                <w:sz w:val="16"/>
                <w:szCs w:val="16"/>
              </w:rPr>
            </w:pPr>
            <w:r>
              <w:rPr>
                <w:rFonts w:ascii="Times New Roman" w:hAnsi="Times New Roman" w:eastAsia="Times New Roman" w:cs="Times New Roman"/>
                <w:b/>
                <w:color w:val="000000"/>
                <w:sz w:val="20"/>
                <w:szCs w:val="16"/>
              </w:rPr>
              <w:t xml:space="preserve">Sécurité native</w:t>
            </w:r>
            <w:r>
              <w:rPr>
                <w:sz w:val="16"/>
                <w:szCs w:val="16"/>
              </w:rPr>
            </w:r>
            <w:r>
              <w:rPr>
                <w:sz w:val="16"/>
                <w:szCs w:val="16"/>
              </w:rPr>
            </w:r>
          </w:p>
        </w:tc>
        <w:tc>
          <w:tcPr>
            <w:tcBorders/>
            <w:tcMar>
              <w:left w:w="80" w:type="dxa"/>
              <w:top w:w="60" w:type="dxa"/>
              <w:right w:w="80" w:type="dxa"/>
              <w:bottom w:w="60" w:type="dxa"/>
            </w:tcMar>
            <w:tcW w:w="2800" w:type="dxa"/>
          </w:tcPr>
          <w:p w14:paraId="0D720AD8">
            <w:pPr>
              <w:pBdr/>
              <w:spacing w:after="0" w:before="0" w:line="240" w:lineRule="auto"/>
              <w:ind/>
              <w:rPr>
                <w:sz w:val="16"/>
                <w:szCs w:val="16"/>
              </w:rPr>
            </w:pPr>
            <w:r>
              <w:rPr>
                <w:rFonts w:ascii="Times New Roman" w:hAnsi="Times New Roman" w:eastAsia="Times New Roman" w:cs="Times New Roman"/>
                <w:color w:val="000000"/>
                <w:sz w:val="20"/>
                <w:szCs w:val="16"/>
              </w:rPr>
              <w:t xml:space="preserve">Chiffrement AES-128, clés réseau et applicatives distinctes (LoRaWAN 1.1)</w:t>
            </w:r>
            <w:r>
              <w:rPr>
                <w:sz w:val="16"/>
                <w:szCs w:val="16"/>
              </w:rPr>
            </w:r>
            <w:r>
              <w:rPr>
                <w:sz w:val="16"/>
                <w:szCs w:val="16"/>
              </w:rPr>
            </w:r>
          </w:p>
        </w:tc>
        <w:tc>
          <w:tcPr>
            <w:tcBorders/>
            <w:tcMar>
              <w:left w:w="80" w:type="dxa"/>
              <w:top w:w="60" w:type="dxa"/>
              <w:right w:w="80" w:type="dxa"/>
              <w:bottom w:w="60" w:type="dxa"/>
            </w:tcMar>
            <w:tcW w:w="2800" w:type="dxa"/>
          </w:tcPr>
          <w:p w14:paraId="24A62F45">
            <w:pPr>
              <w:pBdr/>
              <w:spacing w:after="0" w:before="0" w:line="240" w:lineRule="auto"/>
              <w:ind/>
              <w:rPr>
                <w:sz w:val="16"/>
                <w:szCs w:val="16"/>
              </w:rPr>
            </w:pPr>
            <w:r>
              <w:rPr>
                <w:rFonts w:ascii="Times New Roman" w:hAnsi="Times New Roman" w:eastAsia="Times New Roman" w:cs="Times New Roman"/>
                <w:color w:val="000000"/>
                <w:sz w:val="20"/>
                <w:szCs w:val="16"/>
              </w:rPr>
              <w:t xml:space="preserve">WPA2/WPA3 au niveau liaison, pas de chiffrement applicatif de bout en bout</w:t>
            </w:r>
            <w:r>
              <w:rPr>
                <w:sz w:val="16"/>
                <w:szCs w:val="16"/>
              </w:rPr>
            </w:r>
            <w:r>
              <w:rPr>
                <w:sz w:val="16"/>
                <w:szCs w:val="16"/>
              </w:rPr>
            </w:r>
          </w:p>
        </w:tc>
        <w:tc>
          <w:tcPr>
            <w:tcBorders/>
            <w:tcMar>
              <w:left w:w="80" w:type="dxa"/>
              <w:top w:w="60" w:type="dxa"/>
              <w:right w:w="80" w:type="dxa"/>
              <w:bottom w:w="60" w:type="dxa"/>
            </w:tcMar>
            <w:tcW w:w="2300" w:type="dxa"/>
          </w:tcPr>
          <w:p w14:paraId="68906372">
            <w:pPr>
              <w:pBdr/>
              <w:spacing w:after="0" w:before="0" w:line="240" w:lineRule="auto"/>
              <w:ind/>
              <w:rPr>
                <w:sz w:val="16"/>
                <w:szCs w:val="16"/>
              </w:rPr>
            </w:pPr>
            <w:r>
              <w:rPr>
                <w:rFonts w:ascii="Times New Roman" w:hAnsi="Times New Roman" w:eastAsia="Times New Roman" w:cs="Times New Roman"/>
                <w:color w:val="000000"/>
                <w:sz w:val="20"/>
                <w:szCs w:val="16"/>
              </w:rPr>
              <w:t xml:space="preserve">Aucune</w:t>
            </w:r>
            <w:r>
              <w:rPr>
                <w:rFonts w:ascii="Times New Roman" w:hAnsi="Times New Roman" w:eastAsia="Times New Roman" w:cs="Times New Roman"/>
                <w:color w:val="000000"/>
                <w:sz w:val="20"/>
                <w:szCs w:val="16"/>
                <w:lang w:val="fr-FR"/>
              </w:rPr>
              <w:t xml:space="preserve">, </w:t>
            </w:r>
            <w:r>
              <w:rPr>
                <w:rFonts w:ascii="Times New Roman" w:hAnsi="Times New Roman" w:eastAsia="Times New Roman" w:cs="Times New Roman"/>
                <w:color w:val="000000"/>
                <w:sz w:val="20"/>
                <w:szCs w:val="16"/>
              </w:rPr>
              <w:t xml:space="preserve">tout repose sur les couches supérieures (mTLS indispensable)</w:t>
            </w:r>
            <w:r>
              <w:rPr>
                <w:sz w:val="16"/>
                <w:szCs w:val="16"/>
              </w:rPr>
            </w:r>
            <w:r>
              <w:rPr>
                <w:sz w:val="16"/>
                <w:szCs w:val="16"/>
              </w:rPr>
            </w:r>
          </w:p>
        </w:tc>
      </w:tr>
    </w:tbl>
    <w:p>
      <w:pPr>
        <w:pBdr/>
        <w:spacing w:before="160"/>
        <w:ind/>
        <w:rPr/>
      </w:pPr>
      <w:r/>
      <w:r/>
    </w:p>
    <w:p>
      <w:pPr>
        <w:pBdr>
          <w:bottom w:val="single" w:color="bfbfbf" w:sz="4" w:space="0"/>
        </w:pBdr>
        <w:spacing w:after="160"/>
        <w:ind/>
        <w:rPr/>
      </w:pPr>
      <w:r>
        <w:rPr>
          <w:b/>
          <w:bCs/>
          <w:color w:val="404040"/>
          <w:sz w:val="19"/>
          <w:szCs w:val="19"/>
        </w:rPr>
        <w:t xml:space="preserve">Protocole réseau </w:t>
      </w:r>
      <w:r>
        <w:rPr>
          <w:b/>
          <w:bCs/>
          <w:color w:val="404040"/>
          <w:sz w:val="19"/>
          <w:szCs w:val="19"/>
          <w:lang w:val="fr-FR"/>
        </w:rPr>
        <w:t xml:space="preserve">retenu </w:t>
      </w:r>
      <w:r>
        <w:rPr>
          <w:b/>
          <w:bCs/>
          <w:color w:val="404040"/>
          <w:sz w:val="19"/>
          <w:szCs w:val="19"/>
        </w:rPr>
        <w:t xml:space="preserve">→ </w:t>
      </w:r>
      <w:r>
        <w:t xml:space="preserve">Approche hybride : Ethernet pour les objets fixes (présence, fumée, radars), LoRaWAN pour les stations météo dispersées.</w:t>
      </w:r>
      <w:r>
        <w:rPr>
          <w:i/>
          <w:iCs/>
          <w:color w:val="afabab"/>
          <w:sz w:val="19"/>
          <w:szCs w:val="19"/>
        </w:rPr>
      </w:r>
      <w:r/>
    </w:p>
    <w:p>
      <w:pPr>
        <w:pBdr>
          <w:bottom w:val="single" w:color="bfbfbf" w:sz="4" w:space="0"/>
        </w:pBdr>
        <w:spacing w:after="160"/>
        <w:ind/>
        <w:rPr/>
      </w:pPr>
      <w:r>
        <w:rPr>
          <w:b/>
          <w:bCs/>
          <w:color w:val="404040"/>
          <w:sz w:val="19"/>
          <w:szCs w:val="19"/>
        </w:rPr>
        <w:t xml:space="preserve">Protocole applicatif retenu → </w:t>
      </w:r>
      <w:r>
        <w:t xml:space="preserve">MQTT</w:t>
      </w:r>
      <w:r/>
    </w:p>
    <w:p>
      <w:pPr>
        <w:pBdr>
          <w:bottom w:val="single" w:color="bfbfbf" w:sz="4" w:space="0"/>
        </w:pBdr>
        <w:spacing w:after="160"/>
        <w:ind/>
        <w:rPr>
          <w:highlight w:val="none"/>
        </w:rPr>
      </w:pPr>
      <w:r>
        <w:rPr>
          <w:b/>
          <w:bCs/>
          <w:color w:val="404040"/>
          <w:sz w:val="19"/>
          <w:szCs w:val="19"/>
        </w:rPr>
        <w:t xml:space="preserve">Justification de synthèse (2-3 phrases) →</w:t>
      </w:r>
      <w:r>
        <w:t xml:space="preserve">Le choix réseau différencié reflète la diversité physique de notre parc d’objets : infrastructure câblée pour les sites fixes à criticité légale (radars) où la fiabilité prime, LoRaWAN pour les capteurs dispersés où l’autonomie et le coût de déploiement à </w:t>
      </w:r>
      <w:r>
        <w:t xml:space="preserve">l’échelle priment. MQTT sécurisé par mTLS unifie la couche applicative au-dessus de ces deux réseaux hétérogènes, permettant une authentification et des règles d’accès cohérentes quel que soit le transport physique utilisé.</w:t>
      </w:r>
      <w:r>
        <w:rPr>
          <w:highlight w:val="none"/>
        </w:rPr>
      </w:r>
    </w:p>
    <w:p w14:paraId="44BDF6A0">
      <w:pPr>
        <w:pBdr>
          <w:bottom w:val="single" w:color="bfbfbf" w:sz="4" w:space="0"/>
        </w:pBdr>
        <w:spacing w:after="160"/>
        <w:ind/>
        <w:rPr>
          <w:highlight w:val="none"/>
        </w:rPr>
      </w:pPr>
      <w:r>
        <w:rPr>
          <w:highlight w:val="none"/>
        </w:rPr>
      </w:r>
      <w:r>
        <w:rPr>
          <w:highlight w:val="none"/>
        </w:rPr>
      </w:r>
      <w:r>
        <w:rPr>
          <w:highlight w:val="none"/>
        </w:rPr>
      </w:r>
    </w:p>
    <w:sectPr>
      <w:footnotePr/>
      <w:endnotePr/>
      <w:type w:val="nextPage"/>
      <w:pgSz w:h="16838" w:orient="portrait" w:w="11906"/>
      <w:pgMar w:top="900" w:right="1000" w:bottom="9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right"/>
      <w:lvlText w:val="·"/>
      <w:numFmt w:val="bullet"/>
      <w:pPr>
        <w:pBdr/>
        <w:spacing/>
        <w:ind w:hanging="220" w:left="300"/>
      </w:pPr>
      <w:rPr>
        <w:rFonts w:hint="default" w:ascii="Symbol" w:hAnsi="Symbol" w:eastAsia="Symbol" w:cs="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39AF1888"/>
    <w:lvl w:ilvl="0">
      <w:isLgl w:val="false"/>
      <w:lvlJc w:val="right"/>
      <w:lvlText w:val="·"/>
      <w:numFmt w:val="bullet"/>
      <w:pPr>
        <w:pBdr/>
        <w:spacing/>
        <w:ind w:hanging="220" w:left="70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3">
    <w:nsid w:val="07C2D8D0"/>
    <w:lvl w:ilvl="0">
      <w:isLgl w:val="false"/>
      <w:lvlJc w:val="left"/>
      <w:lvlText w:val="–"/>
      <w:numFmt w:val="bullet"/>
      <w:pPr>
        <w:pBdr/>
        <w:spacing/>
        <w:ind w:hanging="220" w:left="977"/>
      </w:pPr>
      <w:rPr>
        <w:rFonts w:ascii="Arial" w:hAnsi="Arial" w:eastAsia="Arial" w:cs="Arial"/>
      </w:rPr>
      <w:start w:val="1"/>
      <w:suff w:val="tab"/>
    </w:lvl>
    <w:lvl w:ilvl="1">
      <w:isLgl w:val="false"/>
      <w:lvlJc w:val="left"/>
      <w:lvlText w:val="o"/>
      <w:numFmt w:val="bullet"/>
      <w:pPr>
        <w:pBdr/>
        <w:spacing/>
        <w:ind w:hanging="360" w:left="1709"/>
      </w:pPr>
      <w:rPr>
        <w:rFonts w:hint="default" w:ascii="Courier New" w:hAnsi="Courier New" w:eastAsia="Courier New" w:cs="Courier New"/>
      </w:rPr>
      <w:start w:val="1"/>
      <w:suff w:val="tab"/>
    </w:lvl>
    <w:lvl w:ilvl="2">
      <w:isLgl w:val="false"/>
      <w:lvlJc w:val="left"/>
      <w:lvlText w:val="§"/>
      <w:numFmt w:val="bullet"/>
      <w:pPr>
        <w:pBdr/>
        <w:spacing/>
        <w:ind w:hanging="360" w:left="2429"/>
      </w:pPr>
      <w:rPr>
        <w:rFonts w:hint="default" w:ascii="Wingdings" w:hAnsi="Wingdings" w:eastAsia="Wingdings" w:cs="Wingdings"/>
      </w:rPr>
      <w:start w:val="1"/>
      <w:suff w:val="tab"/>
    </w:lvl>
    <w:lvl w:ilvl="3">
      <w:isLgl w:val="false"/>
      <w:lvlJc w:val="left"/>
      <w:lvlText w:val="·"/>
      <w:numFmt w:val="bullet"/>
      <w:pPr>
        <w:pBdr/>
        <w:spacing/>
        <w:ind w:hanging="360" w:left="3149"/>
      </w:pPr>
      <w:rPr>
        <w:rFonts w:hint="default" w:ascii="Symbol" w:hAnsi="Symbol" w:eastAsia="Symbol" w:cs="Symbol"/>
      </w:rPr>
      <w:start w:val="1"/>
      <w:suff w:val="tab"/>
    </w:lvl>
    <w:lvl w:ilvl="4">
      <w:isLgl w:val="false"/>
      <w:lvlJc w:val="left"/>
      <w:lvlText w:val="o"/>
      <w:numFmt w:val="bullet"/>
      <w:pPr>
        <w:pBdr/>
        <w:spacing/>
        <w:ind w:hanging="360" w:left="3869"/>
      </w:pPr>
      <w:rPr>
        <w:rFonts w:hint="default" w:ascii="Courier New" w:hAnsi="Courier New" w:eastAsia="Courier New" w:cs="Courier New"/>
      </w:rPr>
      <w:start w:val="1"/>
      <w:suff w:val="tab"/>
    </w:lvl>
    <w:lvl w:ilvl="5">
      <w:isLgl w:val="false"/>
      <w:lvlJc w:val="left"/>
      <w:lvlText w:val="§"/>
      <w:numFmt w:val="bullet"/>
      <w:pPr>
        <w:pBdr/>
        <w:spacing/>
        <w:ind w:hanging="360" w:left="4589"/>
      </w:pPr>
      <w:rPr>
        <w:rFonts w:hint="default" w:ascii="Wingdings" w:hAnsi="Wingdings" w:eastAsia="Wingdings" w:cs="Wingdings"/>
      </w:rPr>
      <w:start w:val="1"/>
      <w:suff w:val="tab"/>
    </w:lvl>
    <w:lvl w:ilvl="6">
      <w:isLgl w:val="false"/>
      <w:lvlJc w:val="left"/>
      <w:lvlText w:val="·"/>
      <w:numFmt w:val="bullet"/>
      <w:pPr>
        <w:pBdr/>
        <w:spacing/>
        <w:ind w:hanging="360" w:left="5309"/>
      </w:pPr>
      <w:rPr>
        <w:rFonts w:hint="default" w:ascii="Symbol" w:hAnsi="Symbol" w:eastAsia="Symbol" w:cs="Symbol"/>
      </w:rPr>
      <w:start w:val="1"/>
      <w:suff w:val="tab"/>
    </w:lvl>
    <w:lvl w:ilvl="7">
      <w:isLgl w:val="false"/>
      <w:lvlJc w:val="left"/>
      <w:lvlText w:val="o"/>
      <w:numFmt w:val="bullet"/>
      <w:pPr>
        <w:pBdr/>
        <w:spacing/>
        <w:ind w:hanging="360" w:left="6029"/>
      </w:pPr>
      <w:rPr>
        <w:rFonts w:hint="default" w:ascii="Courier New" w:hAnsi="Courier New" w:eastAsia="Courier New" w:cs="Courier New"/>
      </w:rPr>
      <w:start w:val="1"/>
      <w:suff w:val="tab"/>
    </w:lvl>
    <w:lvl w:ilvl="8">
      <w:isLgl w:val="false"/>
      <w:lvlJc w:val="left"/>
      <w:lvlText w:val="§"/>
      <w:numFmt w:val="bullet"/>
      <w:pPr>
        <w:pBdr/>
        <w:spacing/>
        <w:ind w:hanging="360" w:left="6749"/>
      </w:pPr>
      <w:rPr>
        <w:rFonts w:hint="default" w:ascii="Wingdings" w:hAnsi="Wingdings" w:eastAsia="Wingdings" w:cs="Wingdings"/>
      </w:rPr>
      <w:start w:val="1"/>
      <w:suff w:val="tab"/>
    </w:lvl>
  </w:abstractNum>
  <w:abstractNum w:abstractNumId="4">
    <w:nsid w:val="6600B20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DCBBF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897726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C6F60C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2E50100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6060CDE6"/>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54C56F48"/>
    <w:lvl w:ilvl="0">
      <w:isLgl w:val="false"/>
      <w:lvlJc w:val="right"/>
      <w:lvlText w:val="%1."/>
      <w:numFmt w:val="decimal"/>
      <w:pPr>
        <w:pBdr/>
        <w:spacing/>
        <w:ind w:hanging="360" w:left="709"/>
      </w:pPr>
      <w:rPr>
        <w:color w:val="000000" w:themeColor="text1"/>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FC82133"/>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2">
    <w:nsid w:val="00B23F9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484D5B9B"/>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w:basedOn w:val="7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Table Grid Light"/>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1"/>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2"/>
    <w:basedOn w:val="7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3"/>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4"/>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5"/>
    <w:basedOn w:val="7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w:basedOn w:val="7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1"/>
    <w:basedOn w:val="7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2"/>
    <w:basedOn w:val="7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3"/>
    <w:basedOn w:val="7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4"/>
    <w:basedOn w:val="7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5"/>
    <w:basedOn w:val="7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6"/>
    <w:basedOn w:val="7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w:basedOn w:val="7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1"/>
    <w:basedOn w:val="7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5"/>
    <w:basedOn w:val="7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6"/>
    <w:basedOn w:val="7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w:basedOn w:val="7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1"/>
    <w:basedOn w:val="7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5"/>
    <w:basedOn w:val="7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6"/>
    <w:basedOn w:val="7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w:basedOn w:val="7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1"/>
    <w:basedOn w:val="7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2"/>
    <w:basedOn w:val="7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3"/>
    <w:basedOn w:val="7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4"/>
    <w:basedOn w:val="7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5"/>
    <w:basedOn w:val="7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6"/>
    <w:basedOn w:val="7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1"/>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2"/>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3"/>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4"/>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5"/>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6"/>
    <w:basedOn w:val="7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w:basedOn w:val="7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1">
    <w:name w:val="Grid Table 6 Colorful - Accent 1"/>
    <w:basedOn w:val="7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2">
    <w:name w:val="Grid Table 6 Colorful - Accent 2"/>
    <w:basedOn w:val="7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3">
    <w:name w:val="Grid Table 6 Colorful - Accent 3"/>
    <w:basedOn w:val="7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4">
    <w:name w:val="Grid Table 6 Colorful - Accent 4"/>
    <w:basedOn w:val="7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5">
    <w:name w:val="Grid Table 6 Colorful - Accent 5"/>
    <w:basedOn w:val="7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6 Colorful - Accent 6"/>
    <w:basedOn w:val="7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7 Colorful"/>
    <w:basedOn w:val="7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1"/>
    <w:basedOn w:val="7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2"/>
    <w:basedOn w:val="7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3"/>
    <w:basedOn w:val="7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4"/>
    <w:basedOn w:val="7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5"/>
    <w:basedOn w:val="7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6"/>
    <w:basedOn w:val="7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1"/>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2"/>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3"/>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4"/>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5"/>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6"/>
    <w:basedOn w:val="7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w:basedOn w:val="7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1"/>
    <w:basedOn w:val="7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2"/>
    <w:basedOn w:val="7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3"/>
    <w:basedOn w:val="7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4"/>
    <w:basedOn w:val="7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5"/>
    <w:basedOn w:val="7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6"/>
    <w:basedOn w:val="7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w:basedOn w:val="7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1"/>
    <w:basedOn w:val="7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2"/>
    <w:basedOn w:val="7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3"/>
    <w:basedOn w:val="7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4"/>
    <w:basedOn w:val="7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5"/>
    <w:basedOn w:val="7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6"/>
    <w:basedOn w:val="7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w:basedOn w:val="7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1"/>
    <w:basedOn w:val="7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2"/>
    <w:basedOn w:val="7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3"/>
    <w:basedOn w:val="7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4"/>
    <w:basedOn w:val="7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5"/>
    <w:basedOn w:val="7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6"/>
    <w:basedOn w:val="7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5 Dark"/>
    <w:basedOn w:val="7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1"/>
    <w:basedOn w:val="7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2"/>
    <w:basedOn w:val="7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3"/>
    <w:basedOn w:val="7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4"/>
    <w:basedOn w:val="7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5"/>
    <w:basedOn w:val="7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6"/>
    <w:basedOn w:val="7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6 Colorful"/>
    <w:basedOn w:val="7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1"/>
    <w:basedOn w:val="7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2"/>
    <w:basedOn w:val="7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3"/>
    <w:basedOn w:val="7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4"/>
    <w:basedOn w:val="7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5"/>
    <w:basedOn w:val="7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6"/>
    <w:basedOn w:val="7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7 Colorful"/>
    <w:basedOn w:val="7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7">
    <w:name w:val="List Table 7 Colorful - Accent 1"/>
    <w:basedOn w:val="7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8">
    <w:name w:val="List Table 7 Colorful - Accent 2"/>
    <w:basedOn w:val="7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9">
    <w:name w:val="List Table 7 Colorful - Accent 3"/>
    <w:basedOn w:val="7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0">
    <w:name w:val="List Table 7 Colorful - Accent 4"/>
    <w:basedOn w:val="7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1">
    <w:name w:val="List Table 7 Colorful - Accent 5"/>
    <w:basedOn w:val="7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22">
    <w:name w:val="List Table 7 Colorful - Accent 6"/>
    <w:basedOn w:val="7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3">
    <w:name w:val="Lined - Accent"/>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1"/>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2"/>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3"/>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4"/>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5"/>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6"/>
    <w:basedOn w:val="7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w:basedOn w:val="7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1"/>
    <w:basedOn w:val="7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2"/>
    <w:basedOn w:val="7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3"/>
    <w:basedOn w:val="7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4"/>
    <w:basedOn w:val="7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5"/>
    <w:basedOn w:val="7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6"/>
    <w:basedOn w:val="7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w:basedOn w:val="7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1"/>
    <w:basedOn w:val="7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2"/>
    <w:basedOn w:val="7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3"/>
    <w:basedOn w:val="7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4"/>
    <w:basedOn w:val="7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5"/>
    <w:basedOn w:val="7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6"/>
    <w:basedOn w:val="7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4">
    <w:name w:val="Heading 7"/>
    <w:basedOn w:val="890"/>
    <w:next w:val="890"/>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90"/>
    <w:next w:val="890"/>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90"/>
    <w:next w:val="890"/>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default="1">
    <w:name w:val="Default Paragraph Font"/>
    <w:uiPriority w:val="1"/>
    <w:semiHidden/>
    <w:unhideWhenUsed/>
    <w:pPr>
      <w:pBdr/>
      <w:spacing/>
      <w:ind/>
    </w:pPr>
  </w:style>
  <w:style w:type="numbering" w:styleId="848" w:default="1">
    <w:name w:val="No List"/>
    <w:uiPriority w:val="99"/>
    <w:semiHidden/>
    <w:unhideWhenUsed/>
    <w:pPr>
      <w:pBdr/>
      <w:spacing/>
      <w:ind/>
    </w:pPr>
  </w:style>
  <w:style w:type="character" w:styleId="849">
    <w:name w:val="Heading 1 Char"/>
    <w:basedOn w:val="847"/>
    <w:link w:val="892"/>
    <w:uiPriority w:val="9"/>
    <w:pPr>
      <w:pBdr/>
      <w:spacing/>
      <w:ind/>
    </w:pPr>
    <w:rPr>
      <w:rFonts w:ascii="Arial" w:hAnsi="Arial" w:eastAsia="Arial" w:cs="Arial"/>
      <w:color w:val="0f4761" w:themeColor="accent1" w:themeShade="BF"/>
      <w:sz w:val="40"/>
      <w:szCs w:val="40"/>
    </w:rPr>
  </w:style>
  <w:style w:type="character" w:styleId="850">
    <w:name w:val="Heading 2 Char"/>
    <w:basedOn w:val="847"/>
    <w:link w:val="893"/>
    <w:uiPriority w:val="9"/>
    <w:pPr>
      <w:pBdr/>
      <w:spacing/>
      <w:ind/>
    </w:pPr>
    <w:rPr>
      <w:rFonts w:ascii="Arial" w:hAnsi="Arial" w:eastAsia="Arial" w:cs="Arial"/>
      <w:color w:val="0f4761" w:themeColor="accent1" w:themeShade="BF"/>
      <w:sz w:val="32"/>
      <w:szCs w:val="32"/>
    </w:rPr>
  </w:style>
  <w:style w:type="character" w:styleId="851">
    <w:name w:val="Heading 3 Char"/>
    <w:basedOn w:val="847"/>
    <w:link w:val="894"/>
    <w:uiPriority w:val="9"/>
    <w:pPr>
      <w:pBdr/>
      <w:spacing/>
      <w:ind/>
    </w:pPr>
    <w:rPr>
      <w:rFonts w:ascii="Arial" w:hAnsi="Arial" w:eastAsia="Arial" w:cs="Arial"/>
      <w:color w:val="0f4761" w:themeColor="accent1" w:themeShade="BF"/>
      <w:sz w:val="28"/>
      <w:szCs w:val="28"/>
    </w:rPr>
  </w:style>
  <w:style w:type="character" w:styleId="852">
    <w:name w:val="Heading 4 Char"/>
    <w:basedOn w:val="847"/>
    <w:link w:val="895"/>
    <w:uiPriority w:val="9"/>
    <w:pPr>
      <w:pBdr/>
      <w:spacing/>
      <w:ind/>
    </w:pPr>
    <w:rPr>
      <w:rFonts w:ascii="Arial" w:hAnsi="Arial" w:eastAsia="Arial" w:cs="Arial"/>
      <w:i/>
      <w:iCs/>
      <w:color w:val="0f4761" w:themeColor="accent1" w:themeShade="BF"/>
    </w:rPr>
  </w:style>
  <w:style w:type="character" w:styleId="853">
    <w:name w:val="Heading 5 Char"/>
    <w:basedOn w:val="847"/>
    <w:link w:val="896"/>
    <w:uiPriority w:val="9"/>
    <w:pPr>
      <w:pBdr/>
      <w:spacing/>
      <w:ind/>
    </w:pPr>
    <w:rPr>
      <w:rFonts w:ascii="Arial" w:hAnsi="Arial" w:eastAsia="Arial" w:cs="Arial"/>
      <w:color w:val="0f4761" w:themeColor="accent1" w:themeShade="BF"/>
    </w:rPr>
  </w:style>
  <w:style w:type="character" w:styleId="854">
    <w:name w:val="Heading 6 Char"/>
    <w:basedOn w:val="847"/>
    <w:link w:val="897"/>
    <w:uiPriority w:val="9"/>
    <w:pPr>
      <w:pBdr/>
      <w:spacing/>
      <w:ind/>
    </w:pPr>
    <w:rPr>
      <w:rFonts w:ascii="Arial" w:hAnsi="Arial" w:eastAsia="Arial" w:cs="Arial"/>
      <w:i/>
      <w:iCs/>
      <w:color w:val="595959" w:themeColor="text1" w:themeTint="A6"/>
    </w:rPr>
  </w:style>
  <w:style w:type="character" w:styleId="855">
    <w:name w:val="Heading 7 Char"/>
    <w:basedOn w:val="847"/>
    <w:link w:val="844"/>
    <w:uiPriority w:val="9"/>
    <w:pPr>
      <w:pBdr/>
      <w:spacing/>
      <w:ind/>
    </w:pPr>
    <w:rPr>
      <w:rFonts w:ascii="Arial" w:hAnsi="Arial" w:eastAsia="Arial" w:cs="Arial"/>
      <w:color w:val="595959" w:themeColor="text1" w:themeTint="A6"/>
    </w:rPr>
  </w:style>
  <w:style w:type="character" w:styleId="856">
    <w:name w:val="Heading 8 Char"/>
    <w:basedOn w:val="847"/>
    <w:link w:val="845"/>
    <w:uiPriority w:val="9"/>
    <w:pPr>
      <w:pBdr/>
      <w:spacing/>
      <w:ind/>
    </w:pPr>
    <w:rPr>
      <w:rFonts w:ascii="Arial" w:hAnsi="Arial" w:eastAsia="Arial" w:cs="Arial"/>
      <w:i/>
      <w:iCs/>
      <w:color w:val="272727" w:themeColor="text1" w:themeTint="D8"/>
    </w:rPr>
  </w:style>
  <w:style w:type="character" w:styleId="857">
    <w:name w:val="Heading 9 Char"/>
    <w:basedOn w:val="847"/>
    <w:link w:val="846"/>
    <w:uiPriority w:val="9"/>
    <w:pPr>
      <w:pBdr/>
      <w:spacing/>
      <w:ind/>
    </w:pPr>
    <w:rPr>
      <w:rFonts w:ascii="Arial" w:hAnsi="Arial" w:eastAsia="Arial" w:cs="Arial"/>
      <w:i/>
      <w:iCs/>
      <w:color w:val="272727" w:themeColor="text1" w:themeTint="D8"/>
    </w:rPr>
  </w:style>
  <w:style w:type="character" w:styleId="858">
    <w:name w:val="Title Char"/>
    <w:basedOn w:val="847"/>
    <w:link w:val="891"/>
    <w:uiPriority w:val="10"/>
    <w:pPr>
      <w:pBdr/>
      <w:spacing/>
      <w:ind/>
    </w:pPr>
    <w:rPr>
      <w:rFonts w:ascii="Arial" w:hAnsi="Arial" w:eastAsia="Arial" w:cs="Arial"/>
      <w:spacing w:val="-10"/>
      <w:sz w:val="56"/>
      <w:szCs w:val="56"/>
    </w:rPr>
  </w:style>
  <w:style w:type="paragraph" w:styleId="859">
    <w:name w:val="Subtitle"/>
    <w:basedOn w:val="890"/>
    <w:next w:val="890"/>
    <w:link w:val="860"/>
    <w:uiPriority w:val="11"/>
    <w:qFormat/>
    <w:pPr>
      <w:numPr>
        <w:ilvl w:val="1"/>
      </w:numPr>
      <w:pBdr/>
      <w:spacing/>
      <w:ind/>
    </w:pPr>
    <w:rPr>
      <w:color w:val="595959" w:themeColor="text1" w:themeTint="A6"/>
      <w:spacing w:val="15"/>
      <w:sz w:val="28"/>
      <w:szCs w:val="28"/>
    </w:rPr>
  </w:style>
  <w:style w:type="character" w:styleId="860">
    <w:name w:val="Subtitle Char"/>
    <w:basedOn w:val="847"/>
    <w:link w:val="859"/>
    <w:uiPriority w:val="11"/>
    <w:pPr>
      <w:pBdr/>
      <w:spacing/>
      <w:ind/>
    </w:pPr>
    <w:rPr>
      <w:color w:val="595959" w:themeColor="text1" w:themeTint="A6"/>
      <w:spacing w:val="15"/>
      <w:sz w:val="28"/>
      <w:szCs w:val="28"/>
    </w:rPr>
  </w:style>
  <w:style w:type="paragraph" w:styleId="861">
    <w:name w:val="Quote"/>
    <w:basedOn w:val="890"/>
    <w:next w:val="890"/>
    <w:link w:val="862"/>
    <w:uiPriority w:val="29"/>
    <w:qFormat/>
    <w:pPr>
      <w:pBdr/>
      <w:spacing w:before="160"/>
      <w:ind/>
      <w:jc w:val="center"/>
    </w:pPr>
    <w:rPr>
      <w:i/>
      <w:iCs/>
      <w:color w:val="404040" w:themeColor="text1" w:themeTint="BF"/>
    </w:rPr>
  </w:style>
  <w:style w:type="character" w:styleId="862">
    <w:name w:val="Quote Char"/>
    <w:basedOn w:val="847"/>
    <w:link w:val="861"/>
    <w:uiPriority w:val="29"/>
    <w:pPr>
      <w:pBdr/>
      <w:spacing/>
      <w:ind/>
    </w:pPr>
    <w:rPr>
      <w:i/>
      <w:iCs/>
      <w:color w:val="404040" w:themeColor="text1" w:themeTint="BF"/>
    </w:rPr>
  </w:style>
  <w:style w:type="character" w:styleId="863">
    <w:name w:val="Intense Emphasis"/>
    <w:basedOn w:val="847"/>
    <w:uiPriority w:val="21"/>
    <w:qFormat/>
    <w:pPr>
      <w:pBdr/>
      <w:spacing/>
      <w:ind/>
    </w:pPr>
    <w:rPr>
      <w:i/>
      <w:iCs/>
      <w:color w:val="0f4761" w:themeColor="accent1" w:themeShade="BF"/>
    </w:rPr>
  </w:style>
  <w:style w:type="paragraph" w:styleId="864">
    <w:name w:val="Intense Quote"/>
    <w:basedOn w:val="890"/>
    <w:next w:val="890"/>
    <w:link w:val="8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5">
    <w:name w:val="Intense Quote Char"/>
    <w:basedOn w:val="847"/>
    <w:link w:val="864"/>
    <w:uiPriority w:val="30"/>
    <w:pPr>
      <w:pBdr/>
      <w:spacing/>
      <w:ind/>
    </w:pPr>
    <w:rPr>
      <w:i/>
      <w:iCs/>
      <w:color w:val="0f4761" w:themeColor="accent1" w:themeShade="BF"/>
    </w:rPr>
  </w:style>
  <w:style w:type="character" w:styleId="866">
    <w:name w:val="Intense Reference"/>
    <w:basedOn w:val="847"/>
    <w:uiPriority w:val="32"/>
    <w:qFormat/>
    <w:pPr>
      <w:pBdr/>
      <w:spacing/>
      <w:ind/>
    </w:pPr>
    <w:rPr>
      <w:b/>
      <w:bCs/>
      <w:smallCaps/>
      <w:color w:val="0f4761" w:themeColor="accent1" w:themeShade="BF"/>
      <w:spacing w:val="5"/>
    </w:rPr>
  </w:style>
  <w:style w:type="paragraph" w:styleId="867">
    <w:name w:val="No Spacing"/>
    <w:basedOn w:val="890"/>
    <w:uiPriority w:val="1"/>
    <w:qFormat/>
    <w:pPr>
      <w:pBdr/>
      <w:spacing w:after="0" w:line="240" w:lineRule="auto"/>
      <w:ind/>
    </w:pPr>
  </w:style>
  <w:style w:type="character" w:styleId="868">
    <w:name w:val="Subtle Emphasis"/>
    <w:basedOn w:val="847"/>
    <w:uiPriority w:val="19"/>
    <w:qFormat/>
    <w:pPr>
      <w:pBdr/>
      <w:spacing/>
      <w:ind/>
    </w:pPr>
    <w:rPr>
      <w:i/>
      <w:iCs/>
      <w:color w:val="404040" w:themeColor="text1" w:themeTint="BF"/>
    </w:rPr>
  </w:style>
  <w:style w:type="character" w:styleId="869">
    <w:name w:val="Emphasis"/>
    <w:basedOn w:val="847"/>
    <w:uiPriority w:val="20"/>
    <w:qFormat/>
    <w:pPr>
      <w:pBdr/>
      <w:spacing/>
      <w:ind/>
    </w:pPr>
    <w:rPr>
      <w:i/>
      <w:iCs/>
    </w:rPr>
  </w:style>
  <w:style w:type="character" w:styleId="870">
    <w:name w:val="Subtle Reference"/>
    <w:basedOn w:val="847"/>
    <w:uiPriority w:val="31"/>
    <w:qFormat/>
    <w:pPr>
      <w:pBdr/>
      <w:spacing/>
      <w:ind/>
    </w:pPr>
    <w:rPr>
      <w:smallCaps/>
      <w:color w:val="5a5a5a" w:themeColor="text1" w:themeTint="A5"/>
    </w:rPr>
  </w:style>
  <w:style w:type="character" w:styleId="871">
    <w:name w:val="Book Title"/>
    <w:basedOn w:val="847"/>
    <w:uiPriority w:val="33"/>
    <w:qFormat/>
    <w:pPr>
      <w:pBdr/>
      <w:spacing/>
      <w:ind/>
    </w:pPr>
    <w:rPr>
      <w:b/>
      <w:bCs/>
      <w:i/>
      <w:iCs/>
      <w:spacing w:val="5"/>
    </w:rPr>
  </w:style>
  <w:style w:type="paragraph" w:styleId="872">
    <w:name w:val="Header"/>
    <w:basedOn w:val="890"/>
    <w:link w:val="873"/>
    <w:uiPriority w:val="99"/>
    <w:unhideWhenUsed/>
    <w:pPr>
      <w:pBdr/>
      <w:tabs>
        <w:tab w:val="center" w:leader="none" w:pos="4844"/>
        <w:tab w:val="right" w:leader="none" w:pos="9689"/>
      </w:tabs>
      <w:spacing w:after="0" w:line="240" w:lineRule="auto"/>
      <w:ind/>
    </w:pPr>
  </w:style>
  <w:style w:type="character" w:styleId="873">
    <w:name w:val="Header Char"/>
    <w:basedOn w:val="847"/>
    <w:link w:val="872"/>
    <w:uiPriority w:val="99"/>
    <w:pPr>
      <w:pBdr/>
      <w:spacing/>
      <w:ind/>
    </w:pPr>
  </w:style>
  <w:style w:type="paragraph" w:styleId="874">
    <w:name w:val="Footer"/>
    <w:basedOn w:val="890"/>
    <w:link w:val="875"/>
    <w:uiPriority w:val="99"/>
    <w:unhideWhenUsed/>
    <w:pPr>
      <w:pBdr/>
      <w:tabs>
        <w:tab w:val="center" w:leader="none" w:pos="4844"/>
        <w:tab w:val="right" w:leader="none" w:pos="9689"/>
      </w:tabs>
      <w:spacing w:after="0" w:line="240" w:lineRule="auto"/>
      <w:ind/>
    </w:pPr>
  </w:style>
  <w:style w:type="character" w:styleId="875">
    <w:name w:val="Footer Char"/>
    <w:basedOn w:val="847"/>
    <w:link w:val="874"/>
    <w:uiPriority w:val="99"/>
    <w:pPr>
      <w:pBdr/>
      <w:spacing/>
      <w:ind/>
    </w:pPr>
  </w:style>
  <w:style w:type="paragraph" w:styleId="876">
    <w:name w:val="Caption"/>
    <w:basedOn w:val="890"/>
    <w:next w:val="890"/>
    <w:uiPriority w:val="35"/>
    <w:unhideWhenUsed/>
    <w:qFormat/>
    <w:pPr>
      <w:pBdr/>
      <w:spacing w:after="200" w:line="240" w:lineRule="auto"/>
      <w:ind/>
    </w:pPr>
    <w:rPr>
      <w:i/>
      <w:iCs/>
      <w:color w:val="0e2841" w:themeColor="text2"/>
      <w:sz w:val="18"/>
      <w:szCs w:val="18"/>
    </w:rPr>
  </w:style>
  <w:style w:type="character" w:styleId="877">
    <w:name w:val="FollowedHyperlink"/>
    <w:basedOn w:val="847"/>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7"/>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paragraph" w:styleId="891">
    <w:name w:val="Title"/>
    <w:basedOn w:val="890"/>
    <w:next w:val="890"/>
    <w:qFormat/>
    <w:pPr>
      <w:pBdr/>
      <w:spacing/>
      <w:ind/>
    </w:pPr>
    <w:rPr>
      <w:sz w:val="56"/>
      <w:szCs w:val="56"/>
    </w:rPr>
  </w:style>
  <w:style w:type="paragraph" w:styleId="892">
    <w:name w:val="Heading 1"/>
    <w:basedOn w:val="890"/>
    <w:next w:val="890"/>
    <w:qFormat/>
    <w:pPr>
      <w:pBdr/>
      <w:spacing/>
      <w:ind/>
    </w:pPr>
    <w:rPr>
      <w:color w:val="2e74b5"/>
      <w:sz w:val="32"/>
      <w:szCs w:val="32"/>
    </w:rPr>
  </w:style>
  <w:style w:type="paragraph" w:styleId="893">
    <w:name w:val="Heading 2"/>
    <w:basedOn w:val="890"/>
    <w:next w:val="890"/>
    <w:qFormat/>
    <w:pPr>
      <w:pBdr/>
      <w:spacing/>
      <w:ind/>
    </w:pPr>
    <w:rPr>
      <w:color w:val="2e74b5"/>
      <w:sz w:val="26"/>
      <w:szCs w:val="26"/>
    </w:rPr>
  </w:style>
  <w:style w:type="paragraph" w:styleId="894">
    <w:name w:val="Heading 3"/>
    <w:basedOn w:val="890"/>
    <w:next w:val="890"/>
    <w:qFormat/>
    <w:pPr>
      <w:pBdr/>
      <w:spacing/>
      <w:ind/>
    </w:pPr>
    <w:rPr>
      <w:color w:val="1f4d78"/>
      <w:sz w:val="24"/>
      <w:szCs w:val="24"/>
    </w:rPr>
  </w:style>
  <w:style w:type="paragraph" w:styleId="895">
    <w:name w:val="Heading 4"/>
    <w:basedOn w:val="890"/>
    <w:next w:val="890"/>
    <w:qFormat/>
    <w:pPr>
      <w:pBdr/>
      <w:spacing/>
      <w:ind/>
    </w:pPr>
    <w:rPr>
      <w:i/>
      <w:iCs/>
      <w:color w:val="2e74b5"/>
    </w:rPr>
  </w:style>
  <w:style w:type="paragraph" w:styleId="896">
    <w:name w:val="Heading 5"/>
    <w:basedOn w:val="890"/>
    <w:next w:val="890"/>
    <w:qFormat/>
    <w:pPr>
      <w:pBdr/>
      <w:spacing/>
      <w:ind/>
    </w:pPr>
    <w:rPr>
      <w:color w:val="2e74b5"/>
    </w:rPr>
  </w:style>
  <w:style w:type="paragraph" w:styleId="897">
    <w:name w:val="Heading 6"/>
    <w:basedOn w:val="890"/>
    <w:next w:val="890"/>
    <w:qFormat/>
    <w:pPr>
      <w:pBdr/>
      <w:spacing/>
      <w:ind/>
    </w:pPr>
    <w:rPr>
      <w:color w:val="1f4d78"/>
    </w:rPr>
  </w:style>
  <w:style w:type="paragraph" w:styleId="898">
    <w:name w:val="Strong"/>
    <w:basedOn w:val="890"/>
    <w:next w:val="890"/>
    <w:qFormat/>
    <w:pPr>
      <w:pBdr/>
      <w:spacing/>
      <w:ind/>
    </w:pPr>
    <w:rPr>
      <w:b/>
      <w:bCs/>
    </w:rPr>
  </w:style>
  <w:style w:type="paragraph" w:styleId="899">
    <w:name w:val="List Paragraph"/>
    <w:basedOn w:val="890"/>
    <w:qFormat/>
    <w:pPr>
      <w:pBdr/>
      <w:spacing/>
      <w:ind/>
    </w:pPr>
  </w:style>
  <w:style w:type="character" w:styleId="900">
    <w:name w:val="Hyperlink"/>
    <w:uiPriority w:val="99"/>
    <w:unhideWhenUsed/>
    <w:pPr>
      <w:pBdr/>
      <w:spacing/>
      <w:ind/>
    </w:pPr>
    <w:rPr>
      <w:color w:val="0563c1"/>
      <w:u w:val="single"/>
    </w:rPr>
  </w:style>
  <w:style w:type="character" w:styleId="901">
    <w:name w:val="footnote reference"/>
    <w:uiPriority w:val="99"/>
    <w:semiHidden/>
    <w:unhideWhenUsed/>
    <w:pPr>
      <w:pBdr/>
      <w:spacing/>
      <w:ind/>
    </w:pPr>
    <w:rPr>
      <w:vertAlign w:val="superscript"/>
    </w:rPr>
  </w:style>
  <w:style w:type="paragraph" w:styleId="902">
    <w:name w:val="footnote text"/>
    <w:basedOn w:val="890"/>
    <w:link w:val="903"/>
    <w:uiPriority w:val="99"/>
    <w:semiHidden/>
    <w:unhideWhenUsed/>
    <w:pPr>
      <w:pBdr/>
      <w:spacing w:after="0" w:line="240" w:lineRule="auto"/>
      <w:ind/>
    </w:pPr>
    <w:rPr>
      <w:sz w:val="20"/>
      <w:szCs w:val="20"/>
    </w:rPr>
  </w:style>
  <w:style w:type="character" w:styleId="903">
    <w:name w:val="Footnote Text Char"/>
    <w:link w:val="902"/>
    <w:uiPriority w:val="99"/>
    <w:semiHidden/>
    <w:unhideWhenUsed/>
    <w:pPr>
      <w:pBdr/>
      <w:spacing/>
      <w:ind/>
    </w:pPr>
    <w:rPr>
      <w:sz w:val="20"/>
      <w:szCs w:val="20"/>
    </w:rPr>
  </w:style>
  <w:style w:type="character" w:styleId="904">
    <w:name w:val="endnote reference"/>
    <w:uiPriority w:val="99"/>
    <w:semiHidden/>
    <w:unhideWhenUsed/>
    <w:pPr>
      <w:pBdr/>
      <w:spacing/>
      <w:ind/>
    </w:pPr>
    <w:rPr>
      <w:vertAlign w:val="superscript"/>
    </w:rPr>
  </w:style>
  <w:style w:type="paragraph" w:styleId="905">
    <w:name w:val="endnote text"/>
    <w:basedOn w:val="890"/>
    <w:link w:val="906"/>
    <w:uiPriority w:val="99"/>
    <w:semiHidden/>
    <w:unhideWhenUsed/>
    <w:pPr>
      <w:pBdr/>
      <w:spacing w:after="0" w:line="240" w:lineRule="auto"/>
      <w:ind/>
    </w:pPr>
    <w:rPr>
      <w:sz w:val="20"/>
      <w:szCs w:val="20"/>
    </w:rPr>
  </w:style>
  <w:style w:type="character" w:styleId="906">
    <w:name w:val="Endnote Text Char"/>
    <w:link w:val="90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2026-10-28T09:42:28Z</dcterms:created>
  <dcterms:modified xsi:type="dcterms:W3CDTF">2026-10-28T14:45:30Z</dcterms:modified>
</cp:coreProperties>
</file>