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C422" w14:textId="77777777" w:rsidR="00AA0921" w:rsidRDefault="00000000">
      <w:pPr>
        <w:rPr>
          <w:lang w:eastAsia="zh-CN"/>
        </w:rPr>
      </w:pPr>
      <w:r>
        <w:rPr>
          <w:lang w:eastAsia="zh-CN"/>
        </w:rPr>
        <w:t>第四节经营情况讨论与分析一、概述2018年度，国际环境错综复杂，我国经济下行压力加大，经济增长有所放缓，面对不利的市场环境，公司积极采取措施，调整经营思路和管理策略，积极拓展主营业务，辅以考核、激励机制。同时对部分资产进行清理处置，实现资产效益最大化，取得较好收益。2018年度，公司实现营业收入63704.67万元，较去年同比减少25.76%；净利润329.50万元，较去年同期有较大幅度增长。●</w:t>
      </w:r>
      <w:r>
        <w:rPr>
          <w:highlight w:val="red"/>
          <w:lang w:eastAsia="zh-CN"/>
        </w:rPr>
        <w:t>视讯</w:t>
      </w:r>
      <w:r>
        <w:rPr>
          <w:lang w:eastAsia="zh-CN"/>
        </w:rPr>
        <w:t>业务全年实现营业收入29274.84万元，比去年同期减少38.75%，营业利润338.76万元，比去年同期增加10.82%。视</w:t>
      </w:r>
      <w:proofErr w:type="gramStart"/>
      <w:r>
        <w:rPr>
          <w:lang w:eastAsia="zh-CN"/>
        </w:rPr>
        <w:t>讯事业</w:t>
      </w:r>
      <w:proofErr w:type="gramEnd"/>
      <w:r>
        <w:rPr>
          <w:lang w:eastAsia="zh-CN"/>
        </w:rPr>
        <w:t>部在报告期内对产品结构进行调整，优化了各品牌产品的销售占比，</w:t>
      </w:r>
      <w:r>
        <w:rPr>
          <w:highlight w:val="red"/>
          <w:lang w:eastAsia="zh-CN"/>
        </w:rPr>
        <w:t>AOC</w:t>
      </w:r>
      <w:r>
        <w:rPr>
          <w:lang w:eastAsia="zh-CN"/>
        </w:rPr>
        <w:t>系列品牌</w:t>
      </w:r>
      <w:proofErr w:type="gramStart"/>
      <w:r>
        <w:rPr>
          <w:lang w:eastAsia="zh-CN"/>
        </w:rPr>
        <w:t>因集团调整占</w:t>
      </w:r>
      <w:proofErr w:type="gramEnd"/>
      <w:r>
        <w:rPr>
          <w:lang w:eastAsia="zh-CN"/>
        </w:rPr>
        <w:t>比减少，长城品牌占比22.41%，</w:t>
      </w:r>
      <w:r>
        <w:rPr>
          <w:highlight w:val="red"/>
          <w:lang w:eastAsia="zh-CN"/>
        </w:rPr>
        <w:t>VSCN</w:t>
      </w:r>
      <w:r>
        <w:rPr>
          <w:lang w:eastAsia="zh-CN"/>
        </w:rPr>
        <w:t>内销销量占比已上升到24.54%,增加VSCN外销占比4.91%，ACER占比18.89%,同时</w:t>
      </w:r>
      <w:r w:rsidRPr="00945230">
        <w:rPr>
          <w:lang w:eastAsia="zh-CN"/>
        </w:rPr>
        <w:t>增加了长虹、创维品牌</w:t>
      </w:r>
      <w:r>
        <w:rPr>
          <w:lang w:eastAsia="zh-CN"/>
        </w:rPr>
        <w:t>。2018年实现销售70.39万台，超额完成了全年利润目标。●</w:t>
      </w:r>
      <w:r>
        <w:rPr>
          <w:highlight w:val="red"/>
          <w:lang w:eastAsia="zh-CN"/>
        </w:rPr>
        <w:t>注塑</w:t>
      </w:r>
      <w:r>
        <w:rPr>
          <w:lang w:eastAsia="zh-CN"/>
        </w:rPr>
        <w:t>业务全年实现营业收入22092.36万元，比去年同期减少12.46%，营业利润44.35万元，比去年同期有所降低。随着市场竞争的不断激烈，</w:t>
      </w:r>
      <w:r>
        <w:rPr>
          <w:highlight w:val="red"/>
          <w:lang w:eastAsia="zh-CN"/>
        </w:rPr>
        <w:t>注塑</w:t>
      </w:r>
      <w:r>
        <w:rPr>
          <w:lang w:eastAsia="zh-CN"/>
        </w:rPr>
        <w:t>利润空间被大幅压缩，但该事业部全体人员及时调整销售策略，积极抢占市场份额，同时扩大生产车间，购进新型</w:t>
      </w:r>
      <w:r>
        <w:rPr>
          <w:highlight w:val="red"/>
          <w:lang w:eastAsia="zh-CN"/>
        </w:rPr>
        <w:t>生产流水线</w:t>
      </w:r>
      <w:r>
        <w:rPr>
          <w:lang w:eastAsia="zh-CN"/>
        </w:rPr>
        <w:t>，现有</w:t>
      </w:r>
      <w:r>
        <w:rPr>
          <w:highlight w:val="red"/>
          <w:lang w:eastAsia="zh-CN"/>
        </w:rPr>
        <w:t>自动化设备</w:t>
      </w:r>
      <w:r w:rsidRPr="00945230">
        <w:rPr>
          <w:highlight w:val="red"/>
          <w:lang w:eastAsia="zh-CN"/>
        </w:rPr>
        <w:t>自动涂胶机器人</w:t>
      </w:r>
      <w:r>
        <w:rPr>
          <w:lang w:eastAsia="zh-CN"/>
        </w:rPr>
        <w:t>、</w:t>
      </w:r>
      <w:r>
        <w:rPr>
          <w:highlight w:val="red"/>
          <w:lang w:eastAsia="zh-CN"/>
        </w:rPr>
        <w:t>注塑机</w:t>
      </w:r>
      <w:r>
        <w:rPr>
          <w:lang w:eastAsia="zh-CN"/>
        </w:rPr>
        <w:t>等十多台，已在2018年11月投入生产，每年产量预计可增加230万套。●</w:t>
      </w:r>
      <w:r>
        <w:rPr>
          <w:highlight w:val="red"/>
          <w:lang w:eastAsia="zh-CN"/>
        </w:rPr>
        <w:t>保丽</w:t>
      </w:r>
      <w:proofErr w:type="gramStart"/>
      <w:r>
        <w:rPr>
          <w:highlight w:val="red"/>
          <w:lang w:eastAsia="zh-CN"/>
        </w:rPr>
        <w:t>龙</w:t>
      </w:r>
      <w:r>
        <w:rPr>
          <w:lang w:eastAsia="zh-CN"/>
        </w:rPr>
        <w:t>业务</w:t>
      </w:r>
      <w:proofErr w:type="gramEnd"/>
      <w:r>
        <w:rPr>
          <w:lang w:eastAsia="zh-CN"/>
        </w:rPr>
        <w:t>全年实现营业收入6836.51万元，比去年同期减少16.01%，营业利润-77万元，比去年同期增长7.49%。</w:t>
      </w:r>
      <w:r>
        <w:rPr>
          <w:highlight w:val="red"/>
          <w:lang w:eastAsia="zh-CN"/>
        </w:rPr>
        <w:t>EPS</w:t>
      </w:r>
      <w:r>
        <w:rPr>
          <w:lang w:eastAsia="zh-CN"/>
        </w:rPr>
        <w:t>事业部2018年实际销售3873吨，</w:t>
      </w:r>
      <w:r>
        <w:rPr>
          <w:highlight w:val="red"/>
          <w:lang w:eastAsia="zh-CN"/>
        </w:rPr>
        <w:t>EPS</w:t>
      </w:r>
      <w:r>
        <w:rPr>
          <w:lang w:eastAsia="zh-CN"/>
        </w:rPr>
        <w:t>事业部在推动产业技术进步、促进科技成果转换工作成绩突出，荣获</w:t>
      </w:r>
      <w:proofErr w:type="gramStart"/>
      <w:r>
        <w:rPr>
          <w:lang w:eastAsia="zh-CN"/>
        </w:rPr>
        <w:t>“</w:t>
      </w:r>
      <w:proofErr w:type="gramEnd"/>
      <w:r>
        <w:rPr>
          <w:lang w:eastAsia="zh-CN"/>
        </w:rPr>
        <w:t>中国塑料加工业优秀科技创新企业</w:t>
      </w:r>
      <w:proofErr w:type="gramStart"/>
      <w:r>
        <w:rPr>
          <w:lang w:eastAsia="zh-CN"/>
        </w:rPr>
        <w:t>“</w:t>
      </w:r>
      <w:proofErr w:type="gramEnd"/>
      <w:r>
        <w:rPr>
          <w:lang w:eastAsia="zh-CN"/>
        </w:rPr>
        <w:t>称号。2018年中标的主要项目达多个百分之百，</w:t>
      </w:r>
      <w:r>
        <w:rPr>
          <w:highlight w:val="red"/>
          <w:lang w:eastAsia="zh-CN"/>
        </w:rPr>
        <w:t>电热P3包装</w:t>
      </w:r>
      <w:r>
        <w:rPr>
          <w:lang w:eastAsia="zh-CN"/>
        </w:rPr>
        <w:t>中标100%，</w:t>
      </w:r>
      <w:r>
        <w:rPr>
          <w:highlight w:val="red"/>
          <w:lang w:eastAsia="zh-CN"/>
        </w:rPr>
        <w:t>燃气</w:t>
      </w:r>
      <w:r>
        <w:rPr>
          <w:lang w:eastAsia="zh-CN"/>
        </w:rPr>
        <w:t>及</w:t>
      </w:r>
      <w:r>
        <w:rPr>
          <w:highlight w:val="red"/>
          <w:lang w:eastAsia="zh-CN"/>
        </w:rPr>
        <w:t>K系列包装件</w:t>
      </w:r>
      <w:r>
        <w:rPr>
          <w:lang w:eastAsia="zh-CN"/>
        </w:rPr>
        <w:t>中标100%，</w:t>
      </w:r>
      <w:r>
        <w:rPr>
          <w:highlight w:val="red"/>
          <w:lang w:eastAsia="zh-CN"/>
        </w:rPr>
        <w:t>T3结构件</w:t>
      </w:r>
      <w:r>
        <w:rPr>
          <w:lang w:eastAsia="zh-CN"/>
        </w:rPr>
        <w:t>中标100%，</w:t>
      </w:r>
      <w:r>
        <w:rPr>
          <w:highlight w:val="red"/>
          <w:lang w:eastAsia="zh-CN"/>
        </w:rPr>
        <w:t>冷柜大富豪</w:t>
      </w:r>
      <w:r>
        <w:rPr>
          <w:lang w:eastAsia="zh-CN"/>
        </w:rPr>
        <w:t>中标100%，</w:t>
      </w:r>
      <w:r>
        <w:rPr>
          <w:highlight w:val="red"/>
          <w:lang w:eastAsia="zh-CN"/>
        </w:rPr>
        <w:t>双变温柜</w:t>
      </w:r>
      <w:r>
        <w:rPr>
          <w:lang w:eastAsia="zh-CN"/>
        </w:rPr>
        <w:t>中标100%。●</w:t>
      </w:r>
      <w:r>
        <w:rPr>
          <w:highlight w:val="red"/>
          <w:lang w:eastAsia="zh-CN"/>
        </w:rPr>
        <w:t>物业租赁</w:t>
      </w:r>
      <w:r>
        <w:rPr>
          <w:lang w:eastAsia="zh-CN"/>
        </w:rPr>
        <w:t>业务全年实现营业收入3436.98万元，比去年同期减少5.45%。公司自有物业华发大厦已纳入城市更新改造项目，租户变动幅度较大，租金收入相对减少，公明华发电子城尚处于更新改造阶段，本年度未产生租赁收入，因此2018年度，公司整体租赁收入与以前年度有所下降。二、主营业务分析1、概述参见“经营情况讨论与分析”中的“一、概述”相关内容。2、收入与成本（1）营业收入构成单位：元2018年2017年同比增减金额占营业收入比重金额占营业收入比重营业收入合计637,046,707.03100%858,040,132.74100%-25.76%分行业显示器292,748,410.4845.95%477,934,212.1055.70%-38.75%注塑件220,923,611.4034.68%252,361,777.2629.41%-12.46%EPS产品68,365,102.4110.73%81,395,469.039.49%-16.01%物业租赁34,369,761.455.40%36,350,826.044.24%-5.45%材料及废料收入14,235,066.012.23%2,695,453.610.31%428.11%水电费及其他6,404,755.281.01%7,302,394.700.85%-12.29%分产品显示器292,748,410.4845.95%477,934,212.1055.70%-38.75%注塑件220,923,611.4034.68%252,361,777.2629.41%-12.46%EPS产品68,365,102.4110.73%81,395,469.039.49%-16.01%物业租赁34,369,761.455.40%36,350,826.044.24%-5.45%材料及废料收入14,235,066.012.23%2,695,453.610.31%428.11%水电费及其他6,404,755.281.01%7,302,394.700.85%-12.29%分地区香港133,145,269.8520.90%279,854,122.7332.62%-52.42%华中</w:t>
      </w:r>
      <w:r>
        <w:rPr>
          <w:lang w:eastAsia="zh-CN"/>
        </w:rPr>
        <w:lastRenderedPageBreak/>
        <w:t>464,355,922.5572.89%535,937,015.8362.46%-13.36%华南39,545,514.636.21%42,248,994.184.92%-6.40%（2）占公司营业收入或营业利润10%以上的行业、产品或地区情况√适用□不适用公司是否需要遵守特殊行业的披露要求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营业收入营业成本毛利率营业收入比上年同期增减营业成本比上年同期增减毛利率比上年同期增减分行业显示器292,748,410.48274,670,759.106.18%-38.75%-40.17%2.24%注塑件220,923,611.40206,230,661.936.65%-12.46%-11.60%-0.91%EPS产品68,365,102.4164,368,704.315.85%-16.01%-14.76%-1.38%物业租赁34,369,761.451,390,657.2095.95%-5.45%-31.79%1.56%分产品显示器292,748,410.48274,670,759.106.18%-38.75%-40.17%2.24%注塑件220,923,611.40206,230,661.936.65%-12.46%-11.60%-0.91%EPS产品68,365,102.4164,368,704.315.85%-16.01%-14.76%-1.38%物业租赁34,369,761.451,390,657.2095.95%-5.45%-31.79%1.56%分地区香港133,145,269.85124,734,192.476.32%-52.42%-53.90%3.00%华中448,891,854.44420,535,932.876.32%-15.60%-15.44%-0.17%华南34,369,761.451,390,657.2095.95%-5.45%-31.79%1.56%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2018年2017年同比增减显示器销售量台703,9301,130,907-37.76%生产量台705,8831,118,816-36.91%库存量台14,48312,53015.59%注塑件销售量吨10,888.3513,179.47-17.38%生产量吨10,542.2213,566-22.29%库存量吨710.871,057-32.75%EPS产品销售量吨3,873.824,487.58-13.68%生产量吨3,881.864,341.03-10.58%库存量吨233.49225.453.57%相关数据同比发生变动30%以上的原因说明√适用□不适用显示器业务订单较上期减少，故生产量和销售量相应减少。注塑</w:t>
      </w:r>
      <w:proofErr w:type="gramStart"/>
      <w:r>
        <w:rPr>
          <w:lang w:eastAsia="zh-CN"/>
        </w:rPr>
        <w:t>件销售</w:t>
      </w:r>
      <w:proofErr w:type="gramEnd"/>
      <w:r>
        <w:rPr>
          <w:lang w:eastAsia="zh-CN"/>
        </w:rPr>
        <w:t>相应减少，库存减少。（4）公司已签订的重大销售合同截至本报告期的履行情况□适用√不适用（5）营业成本构成行业和产品分类单位：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2018年2017年同比增减金额占营业成本比重金额占营业成本比重显示器原材料259,032,420.0094.31%448,842,209.9897.00%-3.00%显示器人工工资5,350,338.951.95%6,506,927.331.00%1.00%显示器折旧2,041,472.540.74%1,255,263.350.00%1.00%显示器能源注塑件原材料175,505,397.9785.10%205,433,313.1890.00%-5.00%注塑件人工工资14,177,081.316.87%16,716,971.226.00%1.00%注塑件折旧3,187,779.061.55%3,537,615.263.00%-1.00%注塑件能源EPS产品原材料40,102,966.9562.30%42,999,667.4156.00%6.00%EPS产品人工工资8,829,344.7113.72%9,868,282.3516.00%-2.00%EPS产品折旧2,000,366.493.11%1,685,290.193.00%0.00%EPS产品能源10,746,289.6816.69%10,858,241.1617.00%0.00%单位：</w:t>
      </w:r>
      <w:proofErr w:type="gramStart"/>
      <w:r>
        <w:rPr>
          <w:lang w:eastAsia="zh-CN"/>
        </w:rPr>
        <w:t>元产品</w:t>
      </w:r>
      <w:proofErr w:type="gramEnd"/>
      <w:r>
        <w:rPr>
          <w:lang w:eastAsia="zh-CN"/>
        </w:rPr>
        <w:t>分类项目2018年2017年同比增减金额占营业成本比重金额占营业成本比重显示器原材料259,032,420.0094.31%448,842,209.9897.00%-3.00%显示器人工工资5,350,338.951.95%6,506,927.331.00%1.00%显示器折旧2,041,472.540.74%1,255,263.350.00%1.00%显示器能源注塑件原材料</w:t>
      </w:r>
      <w:r>
        <w:rPr>
          <w:lang w:eastAsia="zh-CN"/>
        </w:rPr>
        <w:lastRenderedPageBreak/>
        <w:t>175,505,397.9785.10%205,433,313.1890.00%-5.00%注塑件人工工资14,177,081.316.87%16,716,971.226.00%1.00%注塑件折旧3,187,779.061.55%3,537,615.263.00%-1.00%注塑件能源EPS产品原材料40,102,966.9562.30%42,999,667.4156.00%6.00%EPS产品人工工资8,829,344.7113.72%9,868,282.3516.00%-2.00%EPS产品折旧2,000,366.493.11%1,685,290.193.00%0.00%EPS产品能源10,746,289.6816.69%10,858,241.1617.00%0.00%说明公司发生主营业务成本545,270,125.34元，其中显示器274,670,759.10元，注塑件206,230,661.93元，EPS产品64,368,704.31元。（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487,280,007.23前五名客户合计销售金额占年度销售总额比例76.50%前五名客户销售额中关联方销售额占年度销售总额比例15.65%公司前5大客户资料序号客户名称销售额（元）占年度销售总额比例1第一名221,249,250.5634.73%2第二名99,679,782.0415.65%3第三名87,845,841.8813.79%4第四名41,955,596.906.59%5第五名36,549,535.855.74%合计--487,280,007.2376.50%主要客户其他情况说明□适用√不适用公司主要供应</w:t>
      </w:r>
      <w:proofErr w:type="gramStart"/>
      <w:r>
        <w:rPr>
          <w:lang w:eastAsia="zh-CN"/>
        </w:rPr>
        <w:t>商情况</w:t>
      </w:r>
      <w:proofErr w:type="gramEnd"/>
      <w:r>
        <w:rPr>
          <w:lang w:eastAsia="zh-CN"/>
        </w:rPr>
        <w:t>前五名供应商合计采购金额（元）397,340,709.18前五名供应商合计采购金额占年度采购总额比例68.76%前五名供应商采购额中关联方采购额占年度采购总额比例40.72%公司前5名供应商资料序号供应商名称采购额（元）占年度采购总额比例1第一名235,309,925.6440.72%2第二名79,516,916.4913.76%3第三名40,961,483.257.09%4第四名21,266,983.803.68%5第五名20,285,400.003.51%合计--397,340,709.1868.76%主要供应</w:t>
      </w:r>
      <w:proofErr w:type="gramStart"/>
      <w:r>
        <w:rPr>
          <w:lang w:eastAsia="zh-CN"/>
        </w:rPr>
        <w:t>商其他</w:t>
      </w:r>
      <w:proofErr w:type="gramEnd"/>
      <w:r>
        <w:rPr>
          <w:lang w:eastAsia="zh-CN"/>
        </w:rPr>
        <w:t>情况说明□适用√不适用3、费用单位：元2018年2017年同比增减重大变动说明销售费用14,100,247.1715,916,493.87-11.41%管理费用38,515,205.1542,783,111.53-9.98%财务费用10,316,763.458,979,085.9514.90%4、研发投入□适用√不适用5、现金流单位：</w:t>
      </w:r>
      <w:proofErr w:type="gramStart"/>
      <w:r>
        <w:rPr>
          <w:lang w:eastAsia="zh-CN"/>
        </w:rPr>
        <w:t>元项目</w:t>
      </w:r>
      <w:proofErr w:type="gramEnd"/>
      <w:r>
        <w:rPr>
          <w:lang w:eastAsia="zh-CN"/>
        </w:rPr>
        <w:t>2018年2017年同比增减经营活动现金流入小计628,379,927.86840,952,371.80-25.28%经营活动现金流出小计650,274,387.52829,229,117.44-21.58%经营活动产生的现金流量净额-21,894,459.6611,723,254.36-286.76%投资活动现金流入小计145,251,259.49291,541,885.91-50.18%投资活动现金流出小计159,063,404.44301,268,751.27-47.20%投资活动产生的现金流量净额-13,812,144.95-9,726,865.36-42.00%筹资活动现金流入小计381,872,622.67288,636,279.3632.30%筹资活动现金流出小计399,842,065.16312,866,866.8327.80%筹资活动产生的现金流量净额-17,969,442.49-24,230,587.4725.84%现金及现金等价物净增加额-53,513,764.70-22,540,338.67-137.41%相关数据同比发生重大变动的主要影响因素说明√适用□不适用本期销售减少，销售回款相应减少。报告期内公司经营活动产生的现金净流量与本年度净利润存在重大差异的原因说明□适用√不适用三、非主营业务分析√适用□不适用单位：</w:t>
      </w:r>
      <w:proofErr w:type="gramStart"/>
      <w:r>
        <w:rPr>
          <w:lang w:eastAsia="zh-CN"/>
        </w:rPr>
        <w:t>元金额</w:t>
      </w:r>
      <w:proofErr w:type="gramEnd"/>
      <w:r>
        <w:rPr>
          <w:lang w:eastAsia="zh-CN"/>
        </w:rPr>
        <w:t>占利润总额比例形成原因说明是否具有可持续性投资收益326,439.497.11%短期理财产品收益。</w:t>
      </w:r>
      <w:proofErr w:type="gramStart"/>
      <w:r>
        <w:rPr>
          <w:lang w:eastAsia="zh-CN"/>
        </w:rPr>
        <w:t>否资产</w:t>
      </w:r>
      <w:proofErr w:type="gramEnd"/>
      <w:r>
        <w:rPr>
          <w:lang w:eastAsia="zh-CN"/>
        </w:rPr>
        <w:t>减值700,496.6415.25%主要系本期计提其他应否收款坏账损失。营业外收入2,886,811.0662.87%主要系政府补助收入。否营业外支出2,341,006.7650.98%主</w:t>
      </w:r>
      <w:r>
        <w:rPr>
          <w:lang w:eastAsia="zh-CN"/>
        </w:rPr>
        <w:lastRenderedPageBreak/>
        <w:t>要系债权转让损失。否四、资产及负债状况1、资产构成重大变动情况单位：元2018年末2017年末比重增减重大变动说明金额占总资产比例金额占总资产比例货币资金34,108,330.275.53%68,812,495.9710.93%-5.40%应收账款116,797,834.5118.93%148,795,998.2623.63%-4.70%存货62,973,909.3810.20%60,387,021.659.59%0.61%投资性房地产50,681,322.868.21%52,410,958.628.32%-0.11%长期股权投资0.00%0.00%0.00%固定资产188,083,873.3830.48%176,477,314.0828.02%2.46%在建工程5,727,760.230.93%654,356.000.10%0.83%短期借款161,568,657.8826.18%166,620,264.8126.46%-0.28%2、以公允价值计量的资产和负债□适用√不适用3、截至报告期末的资产权利受限情况五、投资状况1、总体情况□适用√不适用2、报告期内获取的重大的股权投资情况□适用√不适用3、报告期内正在进行的重大的非股权投资情况□适用√不适用4、金融资产投资（1）证券投资情况□适用√不适用公司报告期不存在证券投资。（2）衍生品投资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恒发科技公司子公司生产销售181,643,111.00474,336,646.26220,675,906.52597,501,192.403,059,503.834,912,260.21华发物业公司子公司物业管理1,000,000.001,052,173.81-3,222,009.322,774,205.63-404,207.57-414,207.57华发租赁公司子公司物业管理1,000,000.001,900,692.20-5,026,990.71华发恒天公司子公司物业管理1,000,000.00996,381.66996,381.66-838.54-838.54华发恒泰公司子公司物业管理1,000,000.00997,112.68997,112.68-838.05-838.05报告期内取得和处置子公司的情况□适用√不适用主要控股参股公司情况说明无八、公司控制的结构化主体情况□适用√不适用九、公司未来发展的展望2019年度，</w:t>
      </w:r>
      <w:r>
        <w:rPr>
          <w:highlight w:val="red"/>
          <w:lang w:eastAsia="zh-CN"/>
        </w:rPr>
        <w:t>家电</w:t>
      </w:r>
      <w:r>
        <w:rPr>
          <w:lang w:eastAsia="zh-CN"/>
        </w:rPr>
        <w:t>行业面临内需不足、中美贸易摩擦的挑战，行业业绩增长处于低谷期，向上的拐点预期还未形成。但随着消费者对更高品质生活和更好体验的追，</w:t>
      </w:r>
      <w:r>
        <w:rPr>
          <w:highlight w:val="red"/>
          <w:lang w:eastAsia="zh-CN"/>
        </w:rPr>
        <w:t>高端升级</w:t>
      </w:r>
      <w:r>
        <w:rPr>
          <w:lang w:eastAsia="zh-CN"/>
        </w:rPr>
        <w:t>将是市场一个大的趋势，我们作为</w:t>
      </w:r>
      <w:r>
        <w:rPr>
          <w:highlight w:val="red"/>
          <w:lang w:eastAsia="zh-CN"/>
        </w:rPr>
        <w:t>家电</w:t>
      </w:r>
      <w:r>
        <w:rPr>
          <w:lang w:eastAsia="zh-CN"/>
        </w:rPr>
        <w:t>行业配套企业</w:t>
      </w:r>
      <w:r w:rsidRPr="00945230">
        <w:rPr>
          <w:lang w:eastAsia="zh-CN"/>
        </w:rPr>
        <w:t>，提高产品质量，向高端发展势</w:t>
      </w:r>
      <w:r>
        <w:rPr>
          <w:lang w:eastAsia="zh-CN"/>
        </w:rPr>
        <w:t>在必行</w:t>
      </w:r>
      <w:r w:rsidRPr="00945230">
        <w:rPr>
          <w:lang w:eastAsia="zh-CN"/>
        </w:rPr>
        <w:t>，通过技术升级，提升技术附加值，提高盈利能力，通过加大新产品研发</w:t>
      </w:r>
      <w:r>
        <w:rPr>
          <w:lang w:eastAsia="zh-CN"/>
        </w:rPr>
        <w:t>力度、</w:t>
      </w:r>
      <w:r w:rsidRPr="00945230">
        <w:rPr>
          <w:lang w:eastAsia="zh-CN"/>
        </w:rPr>
        <w:t>调整改进产品结构、改良生产工艺、提高生产效率、拓展下游渠道以及培育自有品牌，积极谋求转型升级。一</w:t>
      </w:r>
      <w:r>
        <w:rPr>
          <w:lang w:eastAsia="zh-CN"/>
        </w:rPr>
        <w:t>定时期内，</w:t>
      </w:r>
      <w:r>
        <w:rPr>
          <w:highlight w:val="red"/>
          <w:lang w:eastAsia="zh-CN"/>
        </w:rPr>
        <w:t>物业租赁</w:t>
      </w:r>
      <w:r>
        <w:rPr>
          <w:lang w:eastAsia="zh-CN"/>
        </w:rPr>
        <w:t>仍是公司发展的另一块重要业务，充分利用自有物业，</w:t>
      </w:r>
      <w:r w:rsidRPr="00945230">
        <w:rPr>
          <w:lang w:eastAsia="zh-CN"/>
        </w:rPr>
        <w:t>提供经营、租赁、服务业</w:t>
      </w:r>
      <w:r>
        <w:rPr>
          <w:lang w:eastAsia="zh-CN"/>
        </w:rPr>
        <w:t>务将为公司的现金流带来一定的贡献，待城市更新改造项目逐步实施落地后，将为公司带来长期稳定的收入来源。新年度经营计划◆</w:t>
      </w:r>
      <w:r>
        <w:rPr>
          <w:highlight w:val="red"/>
          <w:lang w:eastAsia="zh-CN"/>
        </w:rPr>
        <w:t>工业</w:t>
      </w:r>
      <w:r>
        <w:rPr>
          <w:lang w:eastAsia="zh-CN"/>
        </w:rPr>
        <w:t>业务产业升级对外服务好现有客户，优化各品</w:t>
      </w:r>
      <w:r w:rsidRPr="00945230">
        <w:rPr>
          <w:lang w:eastAsia="zh-CN"/>
        </w:rPr>
        <w:t>牌产品结构，大力拓展市场，争取</w:t>
      </w:r>
      <w:r>
        <w:rPr>
          <w:lang w:eastAsia="zh-CN"/>
        </w:rPr>
        <w:t>更多的</w:t>
      </w:r>
      <w:r w:rsidRPr="00945230">
        <w:rPr>
          <w:lang w:eastAsia="zh-CN"/>
        </w:rPr>
        <w:t>市场份额；对内加强管理，提高生产效率，提升产品品质，充分利用公司所处地理优势，</w:t>
      </w:r>
      <w:r>
        <w:rPr>
          <w:lang w:eastAsia="zh-CN"/>
        </w:rPr>
        <w:t>将各项业务做大做强。同时积极寻找</w:t>
      </w:r>
      <w:r>
        <w:rPr>
          <w:highlight w:val="red"/>
          <w:lang w:eastAsia="zh-CN"/>
        </w:rPr>
        <w:t>电子消费</w:t>
      </w:r>
      <w:r w:rsidRPr="00945230">
        <w:rPr>
          <w:lang w:eastAsia="zh-CN"/>
        </w:rPr>
        <w:t>类</w:t>
      </w:r>
      <w:r>
        <w:rPr>
          <w:lang w:eastAsia="zh-CN"/>
        </w:rPr>
        <w:t>的优质技术项目，通过技术优化、管理优化逐步实现产业升级。◆推动</w:t>
      </w:r>
      <w:r>
        <w:rPr>
          <w:highlight w:val="red"/>
          <w:lang w:eastAsia="zh-CN"/>
        </w:rPr>
        <w:t>城市更新</w:t>
      </w:r>
      <w:r w:rsidRPr="00945230">
        <w:rPr>
          <w:lang w:eastAsia="zh-CN"/>
        </w:rPr>
        <w:t>项目进</w:t>
      </w:r>
      <w:r>
        <w:rPr>
          <w:lang w:eastAsia="zh-CN"/>
        </w:rPr>
        <w:t>展加快推动深圳光明新区公明街道华发片区更新单元项目及深圳福田区华强北街道华发大厦</w:t>
      </w:r>
      <w:r w:rsidRPr="00945230">
        <w:rPr>
          <w:lang w:eastAsia="zh-CN"/>
        </w:rPr>
        <w:t>更新项目改造进度</w:t>
      </w:r>
      <w:r>
        <w:rPr>
          <w:lang w:eastAsia="zh-CN"/>
        </w:rPr>
        <w:t>，力争早日取得阶段性进展。◆继续重点加强公司内部控制公司将在2019年度按照上市公司治理要求,进一步优</w:t>
      </w:r>
      <w:r w:rsidRPr="00945230">
        <w:rPr>
          <w:lang w:eastAsia="zh-CN"/>
        </w:rPr>
        <w:lastRenderedPageBreak/>
        <w:t>化公司治理结构,完善内部控制制度及流程,严格落实和提高相关制度的执行力度，公司管理层及相关部门严格按内部控制文件要求执行资金使用审批程序管理规定、关联交易管理制度、内部审计工作制度、重大信息内部报告制度等相关制度。十、接待调研、沟通、采访等活动情况1、报告期内接待调研、沟通、采</w:t>
      </w:r>
      <w:r>
        <w:rPr>
          <w:lang w:eastAsia="zh-CN"/>
        </w:rPr>
        <w:t>访等活动登记表√适用□不适用接待时间接待方式接待对象类型调研的基本情况索引2018年01月04日电话沟通个人无接待次数若干接待机构数量0接待个人数量若干接待其他对象数量0是否披露、透露或泄露未公开重大信息否</w:t>
      </w:r>
    </w:p>
    <w:p w14:paraId="56961DE0" w14:textId="77777777" w:rsidR="00AA0921" w:rsidRDefault="00000000">
      <w:pPr>
        <w:rPr>
          <w:lang w:eastAsia="zh-CN"/>
        </w:rPr>
      </w:pPr>
      <w:r>
        <w:rPr>
          <w:rFonts w:hint="eastAsia"/>
          <w:lang w:eastAsia="zh-CN"/>
        </w:rPr>
        <w:t>标签数量：57</w:t>
      </w:r>
    </w:p>
    <w:sectPr w:rsidR="00AA09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E7E73" w14:textId="77777777" w:rsidR="00997738" w:rsidRDefault="00997738">
      <w:pPr>
        <w:spacing w:line="240" w:lineRule="auto"/>
      </w:pPr>
      <w:r>
        <w:separator/>
      </w:r>
    </w:p>
  </w:endnote>
  <w:endnote w:type="continuationSeparator" w:id="0">
    <w:p w14:paraId="67464B39" w14:textId="77777777" w:rsidR="00997738" w:rsidRDefault="00997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BB13" w14:textId="77777777" w:rsidR="00997738" w:rsidRDefault="00997738">
      <w:pPr>
        <w:spacing w:after="0"/>
      </w:pPr>
      <w:r>
        <w:separator/>
      </w:r>
    </w:p>
  </w:footnote>
  <w:footnote w:type="continuationSeparator" w:id="0">
    <w:p w14:paraId="2A49813B" w14:textId="77777777" w:rsidR="00997738" w:rsidRDefault="009977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003770939">
    <w:abstractNumId w:val="1"/>
  </w:num>
  <w:num w:numId="2" w16cid:durableId="618072645">
    <w:abstractNumId w:val="4"/>
  </w:num>
  <w:num w:numId="3" w16cid:durableId="1189441997">
    <w:abstractNumId w:val="5"/>
  </w:num>
  <w:num w:numId="4" w16cid:durableId="566772000">
    <w:abstractNumId w:val="2"/>
  </w:num>
  <w:num w:numId="5" w16cid:durableId="1312834019">
    <w:abstractNumId w:val="0"/>
  </w:num>
  <w:num w:numId="6" w16cid:durableId="1406949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945230"/>
    <w:rsid w:val="00997738"/>
    <w:rsid w:val="00AA0921"/>
    <w:rsid w:val="00AA1D8D"/>
    <w:rsid w:val="00B47730"/>
    <w:rsid w:val="00CB0664"/>
    <w:rsid w:val="00FC693F"/>
    <w:rsid w:val="011836E8"/>
    <w:rsid w:val="08CE0793"/>
    <w:rsid w:val="0C321039"/>
    <w:rsid w:val="15004E1B"/>
    <w:rsid w:val="151412DC"/>
    <w:rsid w:val="15995C85"/>
    <w:rsid w:val="163360DA"/>
    <w:rsid w:val="1FE059CC"/>
    <w:rsid w:val="21577120"/>
    <w:rsid w:val="257A162F"/>
    <w:rsid w:val="25B71908"/>
    <w:rsid w:val="26A10E3D"/>
    <w:rsid w:val="28700AC7"/>
    <w:rsid w:val="2E3E3A4B"/>
    <w:rsid w:val="303F594F"/>
    <w:rsid w:val="35F72828"/>
    <w:rsid w:val="362C0724"/>
    <w:rsid w:val="392A2138"/>
    <w:rsid w:val="397523E2"/>
    <w:rsid w:val="3CC72F54"/>
    <w:rsid w:val="3FAA1820"/>
    <w:rsid w:val="45AF3EA0"/>
    <w:rsid w:val="478A34FC"/>
    <w:rsid w:val="482E56D0"/>
    <w:rsid w:val="4B8F7333"/>
    <w:rsid w:val="4BB5041C"/>
    <w:rsid w:val="51312C3A"/>
    <w:rsid w:val="51905BB3"/>
    <w:rsid w:val="529D1313"/>
    <w:rsid w:val="541C1980"/>
    <w:rsid w:val="543D36A4"/>
    <w:rsid w:val="54BA6AA3"/>
    <w:rsid w:val="5F8F6506"/>
    <w:rsid w:val="60114363"/>
    <w:rsid w:val="62FB30A8"/>
    <w:rsid w:val="661C0D41"/>
    <w:rsid w:val="69C51D1A"/>
    <w:rsid w:val="6A4E61B3"/>
    <w:rsid w:val="6BAE515B"/>
    <w:rsid w:val="6C6B6BA9"/>
    <w:rsid w:val="6CE07597"/>
    <w:rsid w:val="6D8B1F81"/>
    <w:rsid w:val="6DCF2230"/>
    <w:rsid w:val="735B1D81"/>
    <w:rsid w:val="79786DA9"/>
    <w:rsid w:val="79A3000D"/>
    <w:rsid w:val="79E84F04"/>
    <w:rsid w:val="7A540C7C"/>
    <w:rsid w:val="7CD95DB0"/>
    <w:rsid w:val="7D0D7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11B29"/>
  <w14:defaultImageDpi w14:val="300"/>
  <w15:docId w15:val="{DFE341C5-E86E-4D1C-A565-051CA76A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BADDD495E8C842F3AE2D0CB4235D4E8E</vt:lpwstr>
  </property>
</Properties>
</file>