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9B8" w14:textId="77777777" w:rsidR="00772C74" w:rsidRDefault="00000000">
      <w:pPr>
        <w:rPr>
          <w:lang w:eastAsia="zh-CN"/>
        </w:rPr>
      </w:pPr>
      <w:r>
        <w:rPr>
          <w:lang w:eastAsia="zh-CN"/>
        </w:rPr>
        <w:t>第四节经营情况讨论与分析一、概述2020年，国内外宏观经济环境错综复杂，面对疫情防控、</w:t>
      </w:r>
      <w:r>
        <w:rPr>
          <w:color w:val="000000" w:themeColor="text1"/>
          <w:lang w:eastAsia="zh-CN"/>
        </w:rPr>
        <w:t>供应链</w:t>
      </w:r>
      <w:r>
        <w:rPr>
          <w:lang w:eastAsia="zh-CN"/>
        </w:rPr>
        <w:t>原材料短缺等多重压力，公司经营班子坚定执行董事会战略部署，通过实施一系列的整合、调整以及国际化骨干人才引进等举措，优化业务结构，强化核心业务协同效应，提升技术能力和完善产能</w:t>
      </w:r>
      <w:r w:rsidRPr="009C2A0B">
        <w:rPr>
          <w:lang w:eastAsia="zh-CN"/>
        </w:rPr>
        <w:t>布局，并以产业转型升级为</w:t>
      </w:r>
      <w:r>
        <w:rPr>
          <w:lang w:eastAsia="zh-CN"/>
        </w:rPr>
        <w:t>契机，在夯实公司规模化制造和跨区域战略经营优势的基础上，稳步推进产业结构调整，重点布局</w:t>
      </w:r>
      <w:r>
        <w:rPr>
          <w:highlight w:val="red"/>
          <w:lang w:eastAsia="zh-CN"/>
        </w:rPr>
        <w:t>存储半导体</w:t>
      </w:r>
      <w:r>
        <w:rPr>
          <w:lang w:eastAsia="zh-CN"/>
        </w:rPr>
        <w:t>、自主产品、高端制造以及深科技城项目，打造</w:t>
      </w:r>
      <w:r w:rsidRPr="009C2A0B">
        <w:rPr>
          <w:lang w:eastAsia="zh-CN"/>
        </w:rPr>
        <w:t>“3+1”发展新模式。报告期内，公司聚焦全球的行业龙头客户资源优势，加大国</w:t>
      </w:r>
      <w:r>
        <w:rPr>
          <w:lang w:eastAsia="zh-CN"/>
        </w:rPr>
        <w:t>内外市场开拓力度，携手战略合作伙伴在合肥投资建厂扩充产能；利用自主研发创新优势，持续开拓计量系统产品的全球业务版图；聚集高端制造规模化制造和跨区域布局优势，配合</w:t>
      </w:r>
      <w:r>
        <w:rPr>
          <w:highlight w:val="red"/>
          <w:lang w:eastAsia="zh-CN"/>
        </w:rPr>
        <w:t>医疗器械</w:t>
      </w:r>
      <w:r>
        <w:rPr>
          <w:lang w:eastAsia="zh-CN"/>
        </w:rPr>
        <w:t>客户完成强劲的订单需求，并积极寻求</w:t>
      </w:r>
      <w:r>
        <w:rPr>
          <w:highlight w:val="red"/>
          <w:lang w:eastAsia="zh-CN"/>
        </w:rPr>
        <w:t>新能源汽车电子</w:t>
      </w:r>
      <w:r>
        <w:rPr>
          <w:lang w:eastAsia="zh-CN"/>
        </w:rPr>
        <w:t>、</w:t>
      </w:r>
      <w:r>
        <w:rPr>
          <w:highlight w:val="red"/>
          <w:lang w:eastAsia="zh-CN"/>
        </w:rPr>
        <w:t>智能产品</w:t>
      </w:r>
      <w:r>
        <w:rPr>
          <w:lang w:eastAsia="zh-CN"/>
        </w:rPr>
        <w:t>、</w:t>
      </w:r>
      <w:r>
        <w:rPr>
          <w:highlight w:val="red"/>
          <w:lang w:eastAsia="zh-CN"/>
        </w:rPr>
        <w:t>数据存储</w:t>
      </w:r>
      <w:r>
        <w:rPr>
          <w:lang w:eastAsia="zh-CN"/>
        </w:rPr>
        <w:t>、</w:t>
      </w:r>
      <w:r>
        <w:rPr>
          <w:highlight w:val="red"/>
          <w:lang w:eastAsia="zh-CN"/>
        </w:rPr>
        <w:t>新能源</w:t>
      </w:r>
      <w:r>
        <w:rPr>
          <w:lang w:eastAsia="zh-CN"/>
        </w:rPr>
        <w:t>等新兴行业成长机会，不断深化与国内外优质客户的合作。报告期内，公司主营业务收入逆势增长，实现营业收入149.67亿元，同比增长13.18%；归属于上市公司股东的净利润8.57亿元，同比增长143.30%。二、主营业务讨论与分析1、</w:t>
      </w:r>
      <w:r>
        <w:rPr>
          <w:highlight w:val="red"/>
          <w:lang w:eastAsia="zh-CN"/>
        </w:rPr>
        <w:t>存储半导体</w:t>
      </w:r>
      <w:r>
        <w:rPr>
          <w:lang w:eastAsia="zh-CN"/>
        </w:rPr>
        <w:t>业务在</w:t>
      </w:r>
      <w:r>
        <w:rPr>
          <w:highlight w:val="red"/>
          <w:lang w:eastAsia="zh-CN"/>
        </w:rPr>
        <w:t>存储半导体</w:t>
      </w:r>
      <w:r>
        <w:rPr>
          <w:lang w:eastAsia="zh-CN"/>
        </w:rPr>
        <w:t>领域，公司主要从事</w:t>
      </w:r>
      <w:r>
        <w:rPr>
          <w:highlight w:val="red"/>
          <w:lang w:eastAsia="zh-CN"/>
        </w:rPr>
        <w:t>存储芯片</w:t>
      </w:r>
      <w:r>
        <w:rPr>
          <w:lang w:eastAsia="zh-CN"/>
        </w:rPr>
        <w:t>封测，拥有行业领先的</w:t>
      </w:r>
      <w:r>
        <w:rPr>
          <w:highlight w:val="red"/>
          <w:lang w:eastAsia="zh-CN"/>
        </w:rPr>
        <w:t>高端封装</w:t>
      </w:r>
      <w:r>
        <w:rPr>
          <w:lang w:eastAsia="zh-CN"/>
        </w:rPr>
        <w:t>技术能力，具备精湛的</w:t>
      </w:r>
      <w:r>
        <w:rPr>
          <w:highlight w:val="red"/>
          <w:lang w:eastAsia="zh-CN"/>
        </w:rPr>
        <w:t>多层堆叠封装工艺</w:t>
      </w:r>
      <w:r>
        <w:rPr>
          <w:lang w:eastAsia="zh-CN"/>
        </w:rPr>
        <w:t>技术，掌握最新一代</w:t>
      </w:r>
      <w:r>
        <w:rPr>
          <w:highlight w:val="red"/>
          <w:lang w:eastAsia="zh-CN"/>
        </w:rPr>
        <w:t>存储器DRAM</w:t>
      </w:r>
      <w:r>
        <w:rPr>
          <w:lang w:eastAsia="zh-CN"/>
        </w:rPr>
        <w:t>的产品</w:t>
      </w:r>
      <w:proofErr w:type="gramStart"/>
      <w:r>
        <w:rPr>
          <w:highlight w:val="red"/>
          <w:lang w:eastAsia="zh-CN"/>
        </w:rPr>
        <w:t>封测</w:t>
      </w:r>
      <w:r>
        <w:rPr>
          <w:lang w:eastAsia="zh-CN"/>
        </w:rPr>
        <w:t>核心</w:t>
      </w:r>
      <w:proofErr w:type="gramEnd"/>
      <w:r>
        <w:rPr>
          <w:lang w:eastAsia="zh-CN"/>
        </w:rPr>
        <w:t>技术。作为具有</w:t>
      </w:r>
      <w:r>
        <w:rPr>
          <w:highlight w:val="red"/>
          <w:lang w:eastAsia="zh-CN"/>
        </w:rPr>
        <w:t>集成电路高端DRAM</w:t>
      </w:r>
      <w:r>
        <w:rPr>
          <w:lang w:eastAsia="zh-CN"/>
        </w:rPr>
        <w:t>/</w:t>
      </w:r>
      <w:r>
        <w:rPr>
          <w:highlight w:val="red"/>
          <w:lang w:eastAsia="zh-CN"/>
        </w:rPr>
        <w:t>Flash</w:t>
      </w:r>
      <w:r>
        <w:rPr>
          <w:lang w:eastAsia="zh-CN"/>
        </w:rPr>
        <w:t>从</w:t>
      </w:r>
      <w:r>
        <w:rPr>
          <w:highlight w:val="red"/>
          <w:lang w:eastAsia="zh-CN"/>
        </w:rPr>
        <w:t>封装</w:t>
      </w:r>
      <w:proofErr w:type="gramStart"/>
      <w:r>
        <w:rPr>
          <w:lang w:eastAsia="zh-CN"/>
        </w:rPr>
        <w:t>测试到模组</w:t>
      </w:r>
      <w:proofErr w:type="gramEnd"/>
      <w:r>
        <w:rPr>
          <w:lang w:eastAsia="zh-CN"/>
        </w:rPr>
        <w:t>成品生产完整</w:t>
      </w:r>
      <w:r w:rsidRPr="009C2A0B">
        <w:rPr>
          <w:lang w:eastAsia="zh-CN"/>
        </w:rPr>
        <w:t>产业链的企业</w:t>
      </w:r>
      <w:r>
        <w:rPr>
          <w:lang w:eastAsia="zh-CN"/>
        </w:rPr>
        <w:t>，公司致力于为客户提供</w:t>
      </w:r>
      <w:r>
        <w:rPr>
          <w:highlight w:val="red"/>
          <w:lang w:eastAsia="zh-CN"/>
        </w:rPr>
        <w:t>SMT制造</w:t>
      </w:r>
      <w:r>
        <w:rPr>
          <w:lang w:eastAsia="zh-CN"/>
        </w:rPr>
        <w:t>、</w:t>
      </w:r>
      <w:r>
        <w:rPr>
          <w:highlight w:val="red"/>
          <w:lang w:eastAsia="zh-CN"/>
        </w:rPr>
        <w:t>测试</w:t>
      </w:r>
      <w:r>
        <w:rPr>
          <w:lang w:eastAsia="zh-CN"/>
        </w:rPr>
        <w:t>、</w:t>
      </w:r>
      <w:r>
        <w:rPr>
          <w:highlight w:val="red"/>
          <w:lang w:eastAsia="zh-CN"/>
        </w:rPr>
        <w:t>组装</w:t>
      </w:r>
      <w:r>
        <w:rPr>
          <w:lang w:eastAsia="zh-CN"/>
        </w:rPr>
        <w:t>、</w:t>
      </w:r>
      <w:r>
        <w:rPr>
          <w:highlight w:val="red"/>
          <w:lang w:eastAsia="zh-CN"/>
        </w:rPr>
        <w:t>包装</w:t>
      </w:r>
      <w:r>
        <w:rPr>
          <w:lang w:eastAsia="zh-CN"/>
        </w:rPr>
        <w:t>及全球</w:t>
      </w:r>
      <w:r>
        <w:rPr>
          <w:highlight w:val="red"/>
          <w:lang w:eastAsia="zh-CN"/>
        </w:rPr>
        <w:t>分销服务</w:t>
      </w:r>
      <w:r>
        <w:rPr>
          <w:lang w:eastAsia="zh-CN"/>
        </w:rPr>
        <w:t>。同时，公司具备与世界知名中央处理器制造商开展测试验证合作的资质，所经测试过的</w:t>
      </w:r>
      <w:r>
        <w:rPr>
          <w:highlight w:val="red"/>
          <w:lang w:eastAsia="zh-CN"/>
        </w:rPr>
        <w:t>存储器</w:t>
      </w:r>
      <w:r>
        <w:rPr>
          <w:lang w:eastAsia="zh-CN"/>
        </w:rPr>
        <w:t>产品可直接配套其</w:t>
      </w:r>
      <w:r>
        <w:rPr>
          <w:highlight w:val="red"/>
          <w:lang w:eastAsia="zh-CN"/>
        </w:rPr>
        <w:t>服务器</w:t>
      </w:r>
      <w:r>
        <w:rPr>
          <w:lang w:eastAsia="zh-CN"/>
        </w:rPr>
        <w:t>投向市场，协助</w:t>
      </w:r>
      <w:r w:rsidRPr="009C2A0B">
        <w:rPr>
          <w:lang w:eastAsia="zh-CN"/>
        </w:rPr>
        <w:t>国内产业链上下游企</w:t>
      </w:r>
      <w:r>
        <w:rPr>
          <w:lang w:eastAsia="zh-CN"/>
        </w:rPr>
        <w:t>业实现其平台的快速验证。公司紧跟国内外</w:t>
      </w:r>
      <w:r>
        <w:rPr>
          <w:highlight w:val="red"/>
          <w:lang w:eastAsia="zh-CN"/>
        </w:rPr>
        <w:t>存储芯片</w:t>
      </w:r>
      <w:r>
        <w:rPr>
          <w:lang w:eastAsia="zh-CN"/>
        </w:rPr>
        <w:t>向</w:t>
      </w:r>
      <w:r>
        <w:rPr>
          <w:highlight w:val="red"/>
          <w:lang w:eastAsia="zh-CN"/>
        </w:rPr>
        <w:t>高速</w:t>
      </w:r>
      <w:r>
        <w:rPr>
          <w:lang w:eastAsia="zh-CN"/>
        </w:rPr>
        <w:t>、</w:t>
      </w:r>
      <w:r>
        <w:rPr>
          <w:highlight w:val="red"/>
          <w:lang w:eastAsia="zh-CN"/>
        </w:rPr>
        <w:t>低功耗</w:t>
      </w:r>
      <w:r>
        <w:rPr>
          <w:lang w:eastAsia="zh-CN"/>
        </w:rPr>
        <w:t>、</w:t>
      </w:r>
      <w:r>
        <w:rPr>
          <w:highlight w:val="red"/>
          <w:lang w:eastAsia="zh-CN"/>
        </w:rPr>
        <w:t>大容量</w:t>
      </w:r>
      <w:r>
        <w:rPr>
          <w:lang w:eastAsia="zh-CN"/>
        </w:rPr>
        <w:t>发展的趋势，不断加大对高速测试设备的投资，不断升级主营产品。报告期内，受疫情影响</w:t>
      </w:r>
      <w:proofErr w:type="gramStart"/>
      <w:r>
        <w:rPr>
          <w:highlight w:val="red"/>
          <w:lang w:eastAsia="zh-CN"/>
        </w:rPr>
        <w:t>云计算</w:t>
      </w:r>
      <w:proofErr w:type="gramEnd"/>
      <w:r>
        <w:rPr>
          <w:lang w:eastAsia="zh-CN"/>
        </w:rPr>
        <w:t>的使用急剧上升，数据中心等所需使用的</w:t>
      </w:r>
      <w:r>
        <w:rPr>
          <w:highlight w:val="red"/>
          <w:lang w:eastAsia="zh-CN"/>
        </w:rPr>
        <w:t>高端内存芯片</w:t>
      </w:r>
      <w:r>
        <w:rPr>
          <w:lang w:eastAsia="zh-CN"/>
        </w:rPr>
        <w:t>需求增大，公司分阶段扩充最新一代</w:t>
      </w:r>
      <w:proofErr w:type="gramStart"/>
      <w:r>
        <w:rPr>
          <w:lang w:eastAsia="zh-CN"/>
        </w:rPr>
        <w:t>先进</w:t>
      </w:r>
      <w:r>
        <w:rPr>
          <w:highlight w:val="red"/>
          <w:lang w:eastAsia="zh-CN"/>
        </w:rPr>
        <w:t>封</w:t>
      </w:r>
      <w:proofErr w:type="gramEnd"/>
      <w:r>
        <w:rPr>
          <w:highlight w:val="red"/>
          <w:lang w:eastAsia="zh-CN"/>
        </w:rPr>
        <w:t>测产能</w:t>
      </w:r>
      <w:r>
        <w:rPr>
          <w:lang w:eastAsia="zh-CN"/>
        </w:rPr>
        <w:t>，满足了战略合作伙伴快速成长的需求。未来公司将进一步提升服务质量和运营效率，继续保持在</w:t>
      </w:r>
      <w:r w:rsidRPr="009C2A0B">
        <w:rPr>
          <w:highlight w:val="red"/>
          <w:lang w:eastAsia="zh-CN"/>
        </w:rPr>
        <w:t>高端芯片封装测试</w:t>
      </w:r>
      <w:r>
        <w:rPr>
          <w:lang w:eastAsia="zh-CN"/>
        </w:rPr>
        <w:t>行业的领先优势。在</w:t>
      </w:r>
      <w:r w:rsidRPr="009C2A0B">
        <w:rPr>
          <w:highlight w:val="red"/>
          <w:lang w:eastAsia="zh-CN"/>
        </w:rPr>
        <w:t>硬盘数据存储</w:t>
      </w:r>
      <w:r>
        <w:rPr>
          <w:lang w:eastAsia="zh-CN"/>
        </w:rPr>
        <w:t>业务领域，公司拥有36年的业务历史，掌握</w:t>
      </w:r>
      <w:r>
        <w:rPr>
          <w:highlight w:val="red"/>
          <w:lang w:eastAsia="zh-CN"/>
        </w:rPr>
        <w:t>硬盘磁头</w:t>
      </w:r>
      <w:r>
        <w:rPr>
          <w:lang w:eastAsia="zh-CN"/>
        </w:rPr>
        <w:t>与</w:t>
      </w:r>
      <w:r>
        <w:rPr>
          <w:highlight w:val="red"/>
          <w:lang w:eastAsia="zh-CN"/>
        </w:rPr>
        <w:t>硬盘</w:t>
      </w:r>
      <w:proofErr w:type="gramStart"/>
      <w:r>
        <w:rPr>
          <w:highlight w:val="red"/>
          <w:lang w:eastAsia="zh-CN"/>
        </w:rPr>
        <w:t>盘</w:t>
      </w:r>
      <w:proofErr w:type="gramEnd"/>
      <w:r>
        <w:rPr>
          <w:highlight w:val="red"/>
          <w:lang w:eastAsia="zh-CN"/>
        </w:rPr>
        <w:t>基片</w:t>
      </w:r>
      <w:r>
        <w:rPr>
          <w:lang w:eastAsia="zh-CN"/>
        </w:rPr>
        <w:t>核心制造技术，拥有自主产权的</w:t>
      </w:r>
      <w:r>
        <w:rPr>
          <w:highlight w:val="red"/>
          <w:lang w:eastAsia="zh-CN"/>
        </w:rPr>
        <w:t>全自动高精密头堆</w:t>
      </w:r>
      <w:r>
        <w:rPr>
          <w:lang w:eastAsia="zh-CN"/>
        </w:rPr>
        <w:t>、</w:t>
      </w:r>
      <w:r>
        <w:rPr>
          <w:highlight w:val="red"/>
          <w:lang w:eastAsia="zh-CN"/>
        </w:rPr>
        <w:t>盘基片生产线</w:t>
      </w:r>
      <w:r>
        <w:rPr>
          <w:lang w:eastAsia="zh-CN"/>
        </w:rPr>
        <w:t>，主要产品包括</w:t>
      </w:r>
      <w:r>
        <w:rPr>
          <w:highlight w:val="red"/>
          <w:lang w:eastAsia="zh-CN"/>
        </w:rPr>
        <w:t>硬盘磁头</w:t>
      </w:r>
      <w:r>
        <w:rPr>
          <w:lang w:eastAsia="zh-CN"/>
        </w:rPr>
        <w:t>、</w:t>
      </w:r>
      <w:r>
        <w:rPr>
          <w:highlight w:val="red"/>
          <w:lang w:eastAsia="zh-CN"/>
        </w:rPr>
        <w:t>盘基片</w:t>
      </w:r>
      <w:r>
        <w:rPr>
          <w:lang w:eastAsia="zh-CN"/>
        </w:rPr>
        <w:t>、</w:t>
      </w:r>
      <w:r>
        <w:rPr>
          <w:highlight w:val="red"/>
          <w:lang w:eastAsia="zh-CN"/>
        </w:rPr>
        <w:t>HDD机械硬盘</w:t>
      </w:r>
      <w:r>
        <w:rPr>
          <w:lang w:eastAsia="zh-CN"/>
        </w:rPr>
        <w:t>、</w:t>
      </w:r>
      <w:r>
        <w:rPr>
          <w:highlight w:val="red"/>
          <w:lang w:eastAsia="zh-CN"/>
        </w:rPr>
        <w:t>SSD固态硬盘</w:t>
      </w:r>
      <w:r>
        <w:rPr>
          <w:lang w:eastAsia="zh-CN"/>
        </w:rPr>
        <w:t>。历经多年的发展，凭借强大的核心技术优势和规模化制造能力，公司已成为全球</w:t>
      </w:r>
      <w:r>
        <w:rPr>
          <w:highlight w:val="red"/>
          <w:lang w:eastAsia="zh-CN"/>
        </w:rPr>
        <w:t>铝基片</w:t>
      </w:r>
      <w:r>
        <w:rPr>
          <w:lang w:eastAsia="zh-CN"/>
        </w:rPr>
        <w:t>制造主导企业，也成为全球三大硬盘厂商的核心供应商，与大客户建立长期稳定的合作关系。目前</w:t>
      </w:r>
      <w:r>
        <w:rPr>
          <w:highlight w:val="red"/>
          <w:lang w:eastAsia="zh-CN"/>
        </w:rPr>
        <w:t>机械硬盘</w:t>
      </w:r>
      <w:r>
        <w:rPr>
          <w:lang w:eastAsia="zh-CN"/>
        </w:rPr>
        <w:t>在</w:t>
      </w:r>
      <w:r>
        <w:rPr>
          <w:highlight w:val="red"/>
          <w:lang w:eastAsia="zh-CN"/>
        </w:rPr>
        <w:t>大型计算机</w:t>
      </w:r>
      <w:r>
        <w:rPr>
          <w:lang w:eastAsia="zh-CN"/>
        </w:rPr>
        <w:t>、</w:t>
      </w:r>
      <w:r>
        <w:rPr>
          <w:highlight w:val="red"/>
          <w:lang w:eastAsia="zh-CN"/>
        </w:rPr>
        <w:t>安防系统</w:t>
      </w:r>
      <w:r>
        <w:rPr>
          <w:lang w:eastAsia="zh-CN"/>
        </w:rPr>
        <w:t>等容量存储及数据安全领域有突出优势，公司</w:t>
      </w:r>
      <w:r>
        <w:rPr>
          <w:highlight w:val="red"/>
          <w:lang w:eastAsia="zh-CN"/>
        </w:rPr>
        <w:t>硬盘存储</w:t>
      </w:r>
      <w:r>
        <w:rPr>
          <w:lang w:eastAsia="zh-CN"/>
        </w:rPr>
        <w:t>业务市场前景将持续向好。未来公司将充分利用强大的研发创新优势，先进的智能制造能力，深厚的行业资源及良好品牌口碑优势，不断调整和优化产品结构，积极把握数据中心的发展机遇，引入</w:t>
      </w:r>
      <w:r>
        <w:rPr>
          <w:highlight w:val="red"/>
          <w:lang w:eastAsia="zh-CN"/>
        </w:rPr>
        <w:t>存储服务器</w:t>
      </w:r>
      <w:r>
        <w:rPr>
          <w:lang w:eastAsia="zh-CN"/>
        </w:rPr>
        <w:t>、</w:t>
      </w:r>
      <w:r>
        <w:rPr>
          <w:highlight w:val="red"/>
          <w:lang w:eastAsia="zh-CN"/>
        </w:rPr>
        <w:t>固态硬盘</w:t>
      </w:r>
      <w:r>
        <w:rPr>
          <w:lang w:eastAsia="zh-CN"/>
        </w:rPr>
        <w:t>等新业务，拓宽业务布局。2、自主产品在计量系统业务领域，公司聚焦于</w:t>
      </w:r>
      <w:r>
        <w:rPr>
          <w:highlight w:val="red"/>
          <w:lang w:eastAsia="zh-CN"/>
        </w:rPr>
        <w:t>水</w:t>
      </w:r>
      <w:r>
        <w:rPr>
          <w:lang w:eastAsia="zh-CN"/>
        </w:rPr>
        <w:t>、</w:t>
      </w:r>
      <w:r>
        <w:rPr>
          <w:highlight w:val="red"/>
          <w:lang w:eastAsia="zh-CN"/>
        </w:rPr>
        <w:t>电</w:t>
      </w:r>
      <w:r>
        <w:rPr>
          <w:lang w:eastAsia="zh-CN"/>
        </w:rPr>
        <w:t>、</w:t>
      </w:r>
      <w:r>
        <w:rPr>
          <w:highlight w:val="red"/>
          <w:lang w:eastAsia="zh-CN"/>
        </w:rPr>
        <w:t>气</w:t>
      </w:r>
      <w:r>
        <w:rPr>
          <w:lang w:eastAsia="zh-CN"/>
        </w:rPr>
        <w:t>等</w:t>
      </w:r>
      <w:r w:rsidRPr="009C2A0B">
        <w:rPr>
          <w:highlight w:val="red"/>
          <w:lang w:eastAsia="zh-CN"/>
        </w:rPr>
        <w:t>能源</w:t>
      </w:r>
      <w:r>
        <w:rPr>
          <w:lang w:eastAsia="zh-CN"/>
        </w:rPr>
        <w:t>领域的</w:t>
      </w:r>
      <w:r>
        <w:rPr>
          <w:highlight w:val="red"/>
          <w:lang w:eastAsia="zh-CN"/>
        </w:rPr>
        <w:t>物联网</w:t>
      </w:r>
      <w:r>
        <w:rPr>
          <w:lang w:eastAsia="zh-CN"/>
        </w:rPr>
        <w:t>解决方案，提供从数据</w:t>
      </w:r>
      <w:r>
        <w:rPr>
          <w:highlight w:val="red"/>
          <w:lang w:eastAsia="zh-CN"/>
        </w:rPr>
        <w:t>采集终端</w:t>
      </w:r>
      <w:r>
        <w:rPr>
          <w:lang w:eastAsia="zh-CN"/>
        </w:rPr>
        <w:t>、</w:t>
      </w:r>
      <w:r>
        <w:rPr>
          <w:highlight w:val="red"/>
          <w:lang w:eastAsia="zh-CN"/>
        </w:rPr>
        <w:t>通讯网关</w:t>
      </w:r>
      <w:r>
        <w:rPr>
          <w:lang w:eastAsia="zh-CN"/>
        </w:rPr>
        <w:t>、</w:t>
      </w:r>
      <w:r>
        <w:rPr>
          <w:highlight w:val="red"/>
          <w:lang w:eastAsia="zh-CN"/>
        </w:rPr>
        <w:t>软件系统</w:t>
      </w:r>
      <w:r>
        <w:rPr>
          <w:lang w:eastAsia="zh-CN"/>
        </w:rPr>
        <w:t>以及</w:t>
      </w:r>
      <w:r>
        <w:rPr>
          <w:highlight w:val="red"/>
          <w:lang w:eastAsia="zh-CN"/>
        </w:rPr>
        <w:t>云平台</w:t>
      </w:r>
      <w:r>
        <w:rPr>
          <w:lang w:eastAsia="zh-CN"/>
        </w:rPr>
        <w:t>服务于一体的综合解决方案。得益于20多年营销、研发、生产、供应链管理及品质管控能力的丰富经验，公司已为全球33个国家，80余家能源公司提供智能计量产品及端到端的整体解决方案服务，其中主站系统已部署超过10个国家，可容纳超1,500万只智能表计设备。凭借先进的技术和专业的服务，行业领先的创新优势和过硬的品质，公司赢得了国内外客户的长期信赖，与欧洲、非洲、亚洲、南美洲地区的多个国家级能源事业单位客户建立稳定的合作关系。报告期内，公司计量系统业务全年出货量相比上一年增加30.4%，全年工序自动化率提高到50%，实现重点项目中关</w:t>
      </w:r>
      <w:r>
        <w:rPr>
          <w:lang w:eastAsia="zh-CN"/>
        </w:rPr>
        <w:lastRenderedPageBreak/>
        <w:t>键设备数据采集覆盖率90%。未来，公司将继续提高技术研发实力，提升创新能力，为市场提供更专业、更经济、具备更高附加值的</w:t>
      </w:r>
      <w:r>
        <w:rPr>
          <w:highlight w:val="red"/>
          <w:lang w:eastAsia="zh-CN"/>
        </w:rPr>
        <w:t>智能用电</w:t>
      </w:r>
      <w:r>
        <w:rPr>
          <w:lang w:eastAsia="zh-CN"/>
        </w:rPr>
        <w:t>产品及系统解决方案，持续增厚公司业绩。3、高端制造在高端制造业务板块，公司凭借强大的研发创新储备能力、领先的工艺技术水平、先进的</w:t>
      </w:r>
      <w:r>
        <w:rPr>
          <w:highlight w:val="red"/>
          <w:lang w:eastAsia="zh-CN"/>
        </w:rPr>
        <w:t>智能制造</w:t>
      </w:r>
      <w:r w:rsidRPr="009C2A0B">
        <w:rPr>
          <w:lang w:eastAsia="zh-CN"/>
        </w:rPr>
        <w:t>生产线</w:t>
      </w:r>
      <w:r>
        <w:rPr>
          <w:lang w:eastAsia="zh-CN"/>
        </w:rPr>
        <w:t>、</w:t>
      </w:r>
      <w:r w:rsidRPr="009C2A0B">
        <w:rPr>
          <w:lang w:eastAsia="zh-CN"/>
        </w:rPr>
        <w:t>国际化经营的管理模式、领先的精密制造能力，</w:t>
      </w:r>
      <w:r>
        <w:rPr>
          <w:lang w:eastAsia="zh-CN"/>
        </w:rPr>
        <w:t>已成为全球领先的平台型高端制造企业。公司坚持龙头客户发展战略，以先进制造为基础，以市场和技术为导向，优化业务结构，垂直整合产业链</w:t>
      </w:r>
      <w:r w:rsidRPr="009C2A0B">
        <w:rPr>
          <w:lang w:eastAsia="zh-CN"/>
        </w:rPr>
        <w:t>，将高壁垒、高附加值业务作为发展重点</w:t>
      </w:r>
      <w:r>
        <w:rPr>
          <w:lang w:eastAsia="zh-CN"/>
        </w:rPr>
        <w:t>。在</w:t>
      </w:r>
      <w:r>
        <w:rPr>
          <w:highlight w:val="red"/>
          <w:lang w:eastAsia="zh-CN"/>
        </w:rPr>
        <w:t>医疗</w:t>
      </w:r>
      <w:r>
        <w:rPr>
          <w:lang w:eastAsia="zh-CN"/>
        </w:rPr>
        <w:t>产品业务方面，公司依托在</w:t>
      </w:r>
      <w:r>
        <w:rPr>
          <w:highlight w:val="red"/>
          <w:lang w:eastAsia="zh-CN"/>
        </w:rPr>
        <w:t>医疗器械</w:t>
      </w:r>
      <w:r>
        <w:rPr>
          <w:lang w:eastAsia="zh-CN"/>
        </w:rPr>
        <w:t>、</w:t>
      </w:r>
      <w:r>
        <w:rPr>
          <w:highlight w:val="red"/>
          <w:lang w:eastAsia="zh-CN"/>
        </w:rPr>
        <w:t>可穿戴健康医疗</w:t>
      </w:r>
      <w:r>
        <w:rPr>
          <w:lang w:eastAsia="zh-CN"/>
        </w:rPr>
        <w:t>及</w:t>
      </w:r>
      <w:r>
        <w:rPr>
          <w:highlight w:val="red"/>
          <w:lang w:eastAsia="zh-CN"/>
        </w:rPr>
        <w:t>医疗保健</w:t>
      </w:r>
      <w:r>
        <w:rPr>
          <w:lang w:eastAsia="zh-CN"/>
        </w:rPr>
        <w:t>等产品领域拥有丰富的研发制造经验和国际化专业团队，为全球一流</w:t>
      </w:r>
      <w:r>
        <w:rPr>
          <w:highlight w:val="red"/>
          <w:lang w:eastAsia="zh-CN"/>
        </w:rPr>
        <w:t>医疗器械</w:t>
      </w:r>
      <w:r>
        <w:rPr>
          <w:lang w:eastAsia="zh-CN"/>
        </w:rPr>
        <w:t>企业提供产品研发、生产制造以及</w:t>
      </w:r>
      <w:r>
        <w:rPr>
          <w:highlight w:val="red"/>
          <w:lang w:eastAsia="zh-CN"/>
        </w:rPr>
        <w:t>物流运输</w:t>
      </w:r>
      <w:r>
        <w:rPr>
          <w:lang w:eastAsia="zh-CN"/>
        </w:rPr>
        <w:t>等一站式</w:t>
      </w:r>
      <w:r>
        <w:rPr>
          <w:highlight w:val="red"/>
          <w:lang w:eastAsia="zh-CN"/>
        </w:rPr>
        <w:t>高端制造</w:t>
      </w:r>
      <w:r w:rsidRPr="009C2A0B">
        <w:rPr>
          <w:lang w:eastAsia="zh-CN"/>
        </w:rPr>
        <w:t>服务</w:t>
      </w:r>
      <w:r>
        <w:rPr>
          <w:lang w:eastAsia="zh-CN"/>
        </w:rPr>
        <w:t>。报告期内，公司现有呼吸机客户成熟产品线的市场稳定，新产品也获得放量。未来公司将专注客户产品发展路线，加大“</w:t>
      </w:r>
      <w:r>
        <w:rPr>
          <w:highlight w:val="red"/>
          <w:lang w:eastAsia="zh-CN"/>
        </w:rPr>
        <w:t>家用医疗品</w:t>
      </w:r>
      <w:r>
        <w:rPr>
          <w:lang w:eastAsia="zh-CN"/>
        </w:rPr>
        <w:t>”、“</w:t>
      </w:r>
      <w:r>
        <w:rPr>
          <w:highlight w:val="red"/>
          <w:lang w:eastAsia="zh-CN"/>
        </w:rPr>
        <w:t>便携式医疗器械</w:t>
      </w:r>
      <w:r>
        <w:rPr>
          <w:lang w:eastAsia="zh-CN"/>
        </w:rPr>
        <w:t>”及“</w:t>
      </w:r>
      <w:r>
        <w:rPr>
          <w:highlight w:val="red"/>
          <w:lang w:eastAsia="zh-CN"/>
        </w:rPr>
        <w:t>慢病管理类医疗器械</w:t>
      </w:r>
      <w:r>
        <w:rPr>
          <w:lang w:eastAsia="zh-CN"/>
        </w:rPr>
        <w:t>”的生产技术研发投入，并积极开拓</w:t>
      </w:r>
      <w:r>
        <w:rPr>
          <w:highlight w:val="red"/>
          <w:lang w:eastAsia="zh-CN"/>
        </w:rPr>
        <w:t>新型医疗</w:t>
      </w:r>
      <w:r>
        <w:rPr>
          <w:lang w:eastAsia="zh-CN"/>
        </w:rPr>
        <w:t>市场客户，提升市场份额。在</w:t>
      </w:r>
      <w:r>
        <w:rPr>
          <w:highlight w:val="red"/>
          <w:lang w:eastAsia="zh-CN"/>
        </w:rPr>
        <w:t>新能源汽车电子</w:t>
      </w:r>
      <w:r>
        <w:rPr>
          <w:lang w:eastAsia="zh-CN"/>
        </w:rPr>
        <w:t>方面，公司凭借先进的技术和设备、完善的质量管控体系、优质的工程测试服务以及稳定的核心技术团队，与全球知名的汽车动力电池系统企业建立长期稳定的合作关系。报告期内，公司与行业领军客户合作的多款产品实现稳定量产,预计未来五年将以每年50%的速度高速增长。此外，依托在超级电容领域的核心能力和长期的技术积累，公司已成为全球最大的大容量单体生产制造基地，年产能超300万只。未来公司将积极布局</w:t>
      </w:r>
      <w:r>
        <w:rPr>
          <w:highlight w:val="red"/>
          <w:lang w:eastAsia="zh-CN"/>
        </w:rPr>
        <w:t>超级电容</w:t>
      </w:r>
      <w:r>
        <w:rPr>
          <w:lang w:eastAsia="zh-CN"/>
        </w:rPr>
        <w:t>相关技术研发及工艺技术的提升和产业化，并积极开拓国内外优质客户资源。在其他电子产品方面，公司紧跟全球行业领先客户的战略发展，利用全产业链纵向垂直整合服务优势，不断向客户产业链上下游延伸，扩大产品线，协同客户推进新产品开发和量产。未来公司将积极把握</w:t>
      </w:r>
      <w:r>
        <w:rPr>
          <w:highlight w:val="red"/>
          <w:lang w:eastAsia="zh-CN"/>
        </w:rPr>
        <w:t>新型智能</w:t>
      </w:r>
      <w:r w:rsidRPr="009C2A0B">
        <w:rPr>
          <w:lang w:eastAsia="zh-CN"/>
        </w:rPr>
        <w:t>产品</w:t>
      </w:r>
      <w:r>
        <w:rPr>
          <w:lang w:eastAsia="zh-CN"/>
        </w:rPr>
        <w:t>、</w:t>
      </w:r>
      <w:r>
        <w:rPr>
          <w:highlight w:val="red"/>
          <w:lang w:eastAsia="zh-CN"/>
        </w:rPr>
        <w:t>新能源</w:t>
      </w:r>
      <w:r w:rsidRPr="009C2A0B">
        <w:rPr>
          <w:lang w:eastAsia="zh-CN"/>
        </w:rPr>
        <w:t>等新兴</w:t>
      </w:r>
      <w:r>
        <w:rPr>
          <w:lang w:eastAsia="zh-CN"/>
        </w:rPr>
        <w:t>领域的发展机遇，为公司高速高质发展抢占更广阔的市场空间。4、产业基地概况公司在全球产业</w:t>
      </w:r>
      <w:proofErr w:type="gramStart"/>
      <w:r>
        <w:rPr>
          <w:lang w:eastAsia="zh-CN"/>
        </w:rPr>
        <w:t>链核心</w:t>
      </w:r>
      <w:proofErr w:type="gramEnd"/>
      <w:r>
        <w:rPr>
          <w:lang w:eastAsia="zh-CN"/>
        </w:rPr>
        <w:t>地区拥有完善的产业布局，可形成高效的供应链系统。公司在深圳、苏州、东莞、惠州、成都等研发制造基地以及马来西亚、菲律宾等建有海外工厂，可贴近大客户配套生产。在日本设有研发基地，在美国设有新产品导入基地，在英国、荷兰</w:t>
      </w:r>
      <w:r w:rsidRPr="009C2A0B">
        <w:rPr>
          <w:lang w:eastAsia="zh-CN"/>
        </w:rPr>
        <w:t>、新加坡等十多个国家或地区设有分支机构或拥有研发团队。丰富的跨区域基地为公司建立了集合技术研发、工艺设计、生产控制、采购管理、物流支持等不同服务模块的</w:t>
      </w:r>
      <w:r>
        <w:rPr>
          <w:lang w:eastAsia="zh-CN"/>
        </w:rPr>
        <w:t>完整</w:t>
      </w:r>
      <w:r>
        <w:rPr>
          <w:highlight w:val="red"/>
          <w:lang w:eastAsia="zh-CN"/>
        </w:rPr>
        <w:t>电子</w:t>
      </w:r>
      <w:r>
        <w:rPr>
          <w:lang w:eastAsia="zh-CN"/>
        </w:rPr>
        <w:t>产品制造服务链，可为全球客户提供</w:t>
      </w:r>
      <w:r>
        <w:rPr>
          <w:highlight w:val="red"/>
          <w:lang w:eastAsia="zh-CN"/>
        </w:rPr>
        <w:t>高端电子</w:t>
      </w:r>
      <w:r>
        <w:rPr>
          <w:lang w:eastAsia="zh-CN"/>
        </w:rPr>
        <w:t>产品研发及制造服务。随着公司产能规模的持续扩张，重庆产业园项目、马来西亚槟城工厂均在建设中，跨区域的产业布局使得公司整体的运营效率和成本优势得到提升，为与重点客户的长期战略合作和进一步开拓国内外市场奠定坚实的基础。报告期内，深科技彩田工业园城市更新项目深科技城已</w:t>
      </w:r>
      <w:proofErr w:type="gramStart"/>
      <w:r>
        <w:rPr>
          <w:lang w:eastAsia="zh-CN"/>
        </w:rPr>
        <w:t>完成绿建认证</w:t>
      </w:r>
      <w:proofErr w:type="gramEnd"/>
      <w:r>
        <w:rPr>
          <w:lang w:eastAsia="zh-CN"/>
        </w:rPr>
        <w:t>申请，一期项目工程进展顺利，其中C座已封顶，</w:t>
      </w:r>
      <w:r w:rsidRPr="009C2A0B">
        <w:rPr>
          <w:lang w:eastAsia="zh-CN"/>
        </w:rPr>
        <w:t>B、A座主体结构正在施工。未来深科技城项目将建成以“科技、研发、金融、专业服务”为核心产业聚集的城市创新综合体，在满足自用的前提下辅以出租，届时将为公司带来充沛的现金流</w:t>
      </w:r>
      <w:r>
        <w:rPr>
          <w:lang w:eastAsia="zh-CN"/>
        </w:rPr>
        <w:t>。三、主营业务分析1、概述参见“经营情况讨论与分析”中的“一、概述”相关内容。2、收入与成本</w:t>
      </w:r>
      <w:r>
        <w:rPr>
          <w:color w:val="000000" w:themeColor="text1"/>
          <w:lang w:eastAsia="zh-CN"/>
        </w:rPr>
        <w:t>(1)营业收入构成单位：元2020年2019年同比增减金额占营业收入比重金额占营业收入比重营业收入合计14,967,234,846.43100.00%13,223,818,815.08100%13.18%分行业计算机、通信和其他电子设备制造业14,708,316,448.9098.27%13,144,340,935.7599.40%11.90%其他258,918,397.531.73%79,477,879.330.60%225.77%分产品存储半导体业务2,361,455,768.8215.78%2,522,558,077.1319.08%-6.39%自有产品</w:t>
      </w:r>
      <w:r>
        <w:rPr>
          <w:color w:val="000000" w:themeColor="text1"/>
          <w:lang w:eastAsia="zh-CN"/>
        </w:rPr>
        <w:lastRenderedPageBreak/>
        <w:t>2,128,477,754.9714.22%1,674,480,399.0712.66%27.11%高端制造10,218,382,925.1168.27%8,947,302,459.5567.66%14.21%其他258,918,397.531.73%79,477,879.330.60%225.77%分地区中国（含香港）4,649,520,110.1331.06%2,649,744,152.9020.04%75.47%亚太地区（中国除外）6,269,747,397.0841.89%6,030,579,149.8245.60%3.97%其他4,047,967,339.2227.05%4,543,495,512.3634.36%-10.91%(2)占公司营业收入或营业利润10%以上的行业、产品或地区情况√适用□不适用单位：元营业收入营业成本毛利率营业收入比上年同期增减营业成本比上年同期增减毛利率比上年同期增减分行业计算机及相关设备制造业14,708,316,448.9013,113,006,186.4110.85%11.90%9.80%1.70%分产品存储半导体业务2,361,455,768.822,007,627,143.1114.98%-6.39%-11.86%5.27%自有产品2,128,477,754.971,511,239,074.4629.00%27.11%28.02%-0.50%高端制造10,218,382,925.119,594,139,968.846.11%14.21%13.09%0.93%分地区中国（含香港）4,390,601,712.604,141,535,665.365.67%70.82%67.07%2.11%亚太地区（中国除外）6,269,747,397.085,349,987,585.9814.67%3.97%-0.51%3.84%其他地区4,047,967,339.223,621,482,935.0710.54%-10.91%-11.36%0.46%公司主营业务数据统计口径在报告期发生调整的情况下，公司最近1年按报告期末口径调整后的主营业务数据□适用√不适用报告期内，公司主营业务结构略有变化，主要是存储半导体业务和自有产品比重略有上升，高端制造业务的比重略有下降。本报告期内主营业务毛利较去年增长了32.70%，主要是由于存储半导体业务及高端制造产品毛利率同比均有所上升。(3)公司实物销售收入是否大于劳务收入√是□</w:t>
      </w:r>
      <w:proofErr w:type="gramStart"/>
      <w:r>
        <w:rPr>
          <w:color w:val="000000" w:themeColor="text1"/>
          <w:lang w:eastAsia="zh-CN"/>
        </w:rPr>
        <w:t>否行业</w:t>
      </w:r>
      <w:proofErr w:type="gramEnd"/>
      <w:r>
        <w:rPr>
          <w:color w:val="000000" w:themeColor="text1"/>
          <w:lang w:eastAsia="zh-CN"/>
        </w:rPr>
        <w:t>分类项目单位2020年2019年同比增减计算机、通信和其他电子设备制造业销售量</w:t>
      </w:r>
      <w:proofErr w:type="gramStart"/>
      <w:r>
        <w:rPr>
          <w:color w:val="000000" w:themeColor="text1"/>
          <w:lang w:eastAsia="zh-CN"/>
        </w:rPr>
        <w:t>个</w:t>
      </w:r>
      <w:proofErr w:type="gramEnd"/>
      <w:r>
        <w:rPr>
          <w:color w:val="000000" w:themeColor="text1"/>
          <w:lang w:eastAsia="zh-CN"/>
        </w:rPr>
        <w:t>697,679,162606,631,23615.01%生产量</w:t>
      </w:r>
      <w:proofErr w:type="gramStart"/>
      <w:r>
        <w:rPr>
          <w:color w:val="000000" w:themeColor="text1"/>
          <w:lang w:eastAsia="zh-CN"/>
        </w:rPr>
        <w:t>个</w:t>
      </w:r>
      <w:proofErr w:type="gramEnd"/>
      <w:r>
        <w:rPr>
          <w:color w:val="000000" w:themeColor="text1"/>
          <w:lang w:eastAsia="zh-CN"/>
        </w:rPr>
        <w:t>700,856,292609,188,40915.05%库存量</w:t>
      </w:r>
      <w:proofErr w:type="gramStart"/>
      <w:r>
        <w:rPr>
          <w:color w:val="000000" w:themeColor="text1"/>
          <w:lang w:eastAsia="zh-CN"/>
        </w:rPr>
        <w:t>个</w:t>
      </w:r>
      <w:proofErr w:type="gramEnd"/>
      <w:r>
        <w:rPr>
          <w:color w:val="000000" w:themeColor="text1"/>
          <w:lang w:eastAsia="zh-CN"/>
        </w:rPr>
        <w:t>14,687,94211,510,81227.60%相关数据同比发生变动30%以上的原因说明□适用√不适用(4)公司已签订的重大销售合同截至本报告期的履行情况□适用√不适用(5)营业成本构成行业分类单位：</w:t>
      </w:r>
      <w:proofErr w:type="gramStart"/>
      <w:r>
        <w:rPr>
          <w:color w:val="000000" w:themeColor="text1"/>
          <w:lang w:eastAsia="zh-CN"/>
        </w:rPr>
        <w:t>元行业</w:t>
      </w:r>
      <w:proofErr w:type="gramEnd"/>
      <w:r>
        <w:rPr>
          <w:color w:val="000000" w:themeColor="text1"/>
          <w:lang w:eastAsia="zh-CN"/>
        </w:rPr>
        <w:t>分类项目2020年2019年同比增减金额占营业成本比重金额占营业成本比重计算机、通信和其他电子设备制造业材料费10,195,640,069.3377.75%9,238,295,762.5077.36%0.39%人工成本1,704,704,359.7113.00%1,641,050,446.0513.74%-0.74%折旧费457,973,713.593.49%435,788,882.983.65%-0.16%能源150,429,673.311.15%142,944,291.961.20%-0.05%制造费用604,258,370.464.61%484,084,312.014.05%0.56%(6)报告期内合并范围是否发生变动√是□</w:t>
      </w:r>
      <w:proofErr w:type="gramStart"/>
      <w:r>
        <w:rPr>
          <w:color w:val="000000" w:themeColor="text1"/>
          <w:lang w:eastAsia="zh-CN"/>
        </w:rPr>
        <w:t>否报告</w:t>
      </w:r>
      <w:proofErr w:type="gramEnd"/>
      <w:r>
        <w:rPr>
          <w:color w:val="000000" w:themeColor="text1"/>
          <w:lang w:eastAsia="zh-CN"/>
        </w:rPr>
        <w:t>期内，公司因新设全资子公司合肥沛顿科技有限公司、控股子公司合肥沛顿存储科技有限公司而增加合并报表范围，具体内容详见财务报告附注中的相关介绍。(7)公司报告期内业务、产品或服务发生重大变化或调整有关情况□适用√不适用前五名客户合计销售金额（元）8,245,325,165.88前五名客户合计销售金额占年度销售总额比例55.09%前五名客户销售额中关联方销售额占年度销售总额比例0(8)主要销售客户和主要供应</w:t>
      </w:r>
      <w:proofErr w:type="gramStart"/>
      <w:r>
        <w:rPr>
          <w:color w:val="000000" w:themeColor="text1"/>
          <w:lang w:eastAsia="zh-CN"/>
        </w:rPr>
        <w:t>商情况</w:t>
      </w:r>
      <w:proofErr w:type="gramEnd"/>
      <w:r>
        <w:rPr>
          <w:color w:val="000000" w:themeColor="text1"/>
          <w:lang w:eastAsia="zh-CN"/>
        </w:rPr>
        <w:t>公司主要销售客户情况公司前5大客户资料序号客户名称销售额（元）占年度销售总额比例1第一名3,005,994,877.0220.08%2第二名1,850,503,515.1812.36%3第三名1,589,550,332.8110.62%4第四名929,004,697.646.21%5第五名870,271,743.235.81%合计--8,245,325,165.8855.09%主要客户其他情况说明□适用√不适用公司主要供应</w:t>
      </w:r>
      <w:proofErr w:type="gramStart"/>
      <w:r>
        <w:rPr>
          <w:color w:val="000000" w:themeColor="text1"/>
          <w:lang w:eastAsia="zh-CN"/>
        </w:rPr>
        <w:t>商情况</w:t>
      </w:r>
      <w:proofErr w:type="gramEnd"/>
      <w:r>
        <w:rPr>
          <w:color w:val="000000" w:themeColor="text1"/>
          <w:lang w:eastAsia="zh-CN"/>
        </w:rPr>
        <w:lastRenderedPageBreak/>
        <w:t>前五名供应商合计采购金额（元）3,416,036,806.29前五名供应商合计采购金额占年度采购总额比例27.87%前五名供应商采购额中关联方采购额占年度采购总额比例0公司前5名供应商资料序号供应商名称采购额（元）占年度采购总额比例1第一名1,723,103,358.5414.06%2第二名696,303,106.345.68%3第三名496,664,227.164.05%4第四名272,695,214.272.23%5第五名227,270,899.981.85%合计--亿元，主要是由于硬盘、医疗产品相关业务增长所致。九、公司控制的结构化主体情况□适用√不适用十、公司未来发展3,416,036,806.2927.87%主要供应</w:t>
      </w:r>
      <w:proofErr w:type="gramStart"/>
      <w:r>
        <w:rPr>
          <w:color w:val="000000" w:themeColor="text1"/>
          <w:lang w:eastAsia="zh-CN"/>
        </w:rPr>
        <w:t>商其他</w:t>
      </w:r>
      <w:proofErr w:type="gramEnd"/>
      <w:r>
        <w:rPr>
          <w:color w:val="000000" w:themeColor="text1"/>
          <w:lang w:eastAsia="zh-CN"/>
        </w:rPr>
        <w:t>情况说明□适用√不适用3、费用单位：元2020年2019年同比增减重大变动说明82,425,127.0561,296,144.1934.47%主要是业务量增加及疫情的影响，运输费用较上年同期增加销售费用管理费用473,768,439.90439,039,442.407.91%270,608,466.68-174,146,927.04-255.39%主要是受本期衍生品到期交割收益较上年同期减少及美元汇率波动产生的外币评估产生损失的共同影响财务费用研发费用255,116,919.67208,160,094.3822.56%4、研发投入√适用□不适用公司设有技术研发及中央实验室、产品开发中心、智能制造技术中心以及信息系统部等研发部门。此外，公司自动化设备事业部、计量系统事业部、智能产品事业部等均设有相对独立的研发平台，来负责相关产品的研发工作。公司实行对重点项目的核心技术人员奖励的制度，及对核心技术保密的制度，坚持较高的研发费用投入比例。2020年度，公司新申请专利107项，其中发明专利32项；新获67项专利授权，其中发明专利7项。2020年研发支出约2.55亿元，占期末净资产3.18%，占本年度营业收入1.70%。公司研发投入情况2020年2019年变动比例研发人员数量（人）561617-9.08%研发人员数量占比2.07%2.08%-0.01%研发投入金额（元）255,116,919.67208,160,094.3822.56%研发投入占营业收入比例1.70%1.57%0.13%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color w:val="000000" w:themeColor="text1"/>
          <w:lang w:eastAsia="zh-CN"/>
        </w:rPr>
        <w:t>元项目</w:t>
      </w:r>
      <w:proofErr w:type="gramEnd"/>
      <w:r>
        <w:rPr>
          <w:color w:val="000000" w:themeColor="text1"/>
          <w:lang w:eastAsia="zh-CN"/>
        </w:rPr>
        <w:t>2020年2019年同比增减经营活动现金流入小计15,606,890,317.8412,078,568,424.2029.21%经营活动现金流出小计12,484,414,297.9713,078,735,270.85-4.54%经营活动产生的现金流量净额3,122,476,019.87-1,000,166,846.65-412.20%投资活动现金流入小计399,755,432.9032,606,136.811126.01%投资活动现金流出小计1,974,942,456.731,156,744,210.5770.73%投资活动产生的现金流量净额-1,575,187,023.83-1,124,138,073.7640.12%筹资活动现金流入小计30,206,411,426.2119,173,570,093.9957.54%筹资活动现金流出小计31,650,459,653.4617,565,723,952.2980.18%筹资活动产生的现金流量净额-1,444,048,227.251,607,846,141.70-189.81%现金及现金等价物净增加额15,968,986.41-390,710,484.11-104.09%相关数据同比发生重大变动的主要影响因素说明√适用□不适用（1）经营活动产生的现金流量净额较上年同期增加41.23亿元，主要是本期内收回上年垫付的材料采购款。（2）收回投资收到的现金较上年同期增加1.69亿元，主要是本期内出售昂纳科技的股票收回投资款1.59亿元；（3）取得投资收益收到的现金较上年同期增加1.89亿元，主要是本期内出售昂纳科技的股票取得投资收益1.79亿元；（4）处置固定资产、无形资产和其他长期资产收回的现金净额较上年同期增加0.09亿元，主要是处</w:t>
      </w:r>
      <w:r>
        <w:rPr>
          <w:color w:val="000000" w:themeColor="text1"/>
          <w:lang w:eastAsia="zh-CN"/>
        </w:rPr>
        <w:lastRenderedPageBreak/>
        <w:t>置固定资产收回的现金较上年同期增加；（5）购建固定资产、无形资产和其他长期资产支付的现金较上年同期增长了86.55%，主要是本期内公司设备采购及在建工程投入增加所致；（6）投资支付的现金较上年同期增加0.32亿元，主要是本期内新增联营公司投资；（7）吸收投资收到的现金、其中：子公司吸收少数股东投资收到的现金较上年同期增加1.73亿元，主要是深</w:t>
      </w:r>
      <w:proofErr w:type="gramStart"/>
      <w:r>
        <w:rPr>
          <w:color w:val="000000" w:themeColor="text1"/>
          <w:lang w:eastAsia="zh-CN"/>
        </w:rPr>
        <w:t>科技沛顿控股</w:t>
      </w:r>
      <w:proofErr w:type="gramEnd"/>
      <w:r>
        <w:rPr>
          <w:color w:val="000000" w:themeColor="text1"/>
          <w:lang w:eastAsia="zh-CN"/>
        </w:rPr>
        <w:t>子公司深科技</w:t>
      </w:r>
      <w:proofErr w:type="gramStart"/>
      <w:r>
        <w:rPr>
          <w:color w:val="000000" w:themeColor="text1"/>
          <w:lang w:eastAsia="zh-CN"/>
        </w:rPr>
        <w:t>合肥沛顿存储</w:t>
      </w:r>
      <w:proofErr w:type="gramEnd"/>
      <w:r>
        <w:rPr>
          <w:color w:val="000000" w:themeColor="text1"/>
          <w:lang w:eastAsia="zh-CN"/>
        </w:rPr>
        <w:t>收到少数股东的投资款1.76亿元；（8）取得借款收到的现金、偿还债务支付的现金分别较上年同期增长了73.17%、75.71%，主要是本期内公司向银行的借款及偿还到期的银行借款均较去年同期有所增加；（9）支付其他与筹资活动有关的现金比上年同期增长了120.16%，主要是本期内开立信用证的保证金及三个月以上定期存款较上年同期增加。报告期内公司经营活动产生的现金净流量与本年度净利润存在重大差异的原因说明□适用√不适用四、非主营业务分析√适用□不适用单位：</w:t>
      </w:r>
      <w:proofErr w:type="gramStart"/>
      <w:r>
        <w:rPr>
          <w:color w:val="000000" w:themeColor="text1"/>
          <w:lang w:eastAsia="zh-CN"/>
        </w:rPr>
        <w:t>元占利润</w:t>
      </w:r>
      <w:proofErr w:type="gramEnd"/>
      <w:r>
        <w:rPr>
          <w:color w:val="000000" w:themeColor="text1"/>
          <w:lang w:eastAsia="zh-CN"/>
        </w:rPr>
        <w:t>总额比例是否具有可持续性金额形成原因说明投资收益259,383,871.6423.16%主要是出售联营公司昂纳科技集团的股票取得投资收益是公允价值变动损益253,253,607.4922.61%主要是本期内金融衍生品的公允价值变动是资产减值-31,358,192.77-2.80%主要是本期内计提的固定资产减值准备、存货跌价准备</w:t>
      </w:r>
      <w:proofErr w:type="gramStart"/>
      <w:r>
        <w:rPr>
          <w:color w:val="000000" w:themeColor="text1"/>
          <w:lang w:eastAsia="zh-CN"/>
        </w:rPr>
        <w:t>否</w:t>
      </w:r>
      <w:proofErr w:type="gramEnd"/>
      <w:r>
        <w:rPr>
          <w:color w:val="000000" w:themeColor="text1"/>
          <w:lang w:eastAsia="zh-CN"/>
        </w:rPr>
        <w:t>营业外收入3,895,509.680.35%否营业外支出5,571,105.620.50%否五、资产及负债状况1、资产构成重大变动情况公司2020年起首次执行新收入准则或新租赁准则且调整执行当年年初财务报表相关项目适用单位：元2020年末2020年初比重增减重大变动说明金额占总资产比例金额占总资产比例货币资金7,494,030,376.8034.64%4,804,273,763.1526.03%8.61%主要是本期内定期存款及保证金存款较上年末增加应收账款2,926,805,378.9613.53%1,833,485,110.659.94%3.59%主要是本期内子公司苏州电子、深科技成都因导入新客户，销售收入增加，导致应收账款余额较上年末大幅增加存货2,367,355,677.1610.94%2,263,312,362.1412.27%-1.33%投资性房地产567,873,382.002.62%579,084,370.003.14%-0.52%长期股权投资775,408,443.103.58%916,105,705.364.96%-1.38%固定资产3,351,180,275.6815.49%2,719,405,217.9914.74%0.75%在建工程1,654,119,394.677.65%1,059,480,393.155.74%1.91%主要是深科技城及子公司深科技重庆厂房建设投入增加所致短期借款7,775,268,255.3635.94%8,253,636,901.6044.73%-8.79%长期借款1,850,000,000.008.55%-0.00%8.55%主要是本期末一年以上的银行借款较上年末增加衍生金融资产914,982,034.484.23%146,877,450.570.80%3.43%主要是本期内子公司深科技香港期末尚未到期的金融衍生品的公允价值较上年末大幅增加预付款项81,875,713.430.38%2,357,527,931.2812.78%-12.40%主要是本期末预付供应商物料</w:t>
      </w:r>
      <w:proofErr w:type="gramStart"/>
      <w:r>
        <w:rPr>
          <w:color w:val="000000" w:themeColor="text1"/>
          <w:lang w:eastAsia="zh-CN"/>
        </w:rPr>
        <w:t>采购款</w:t>
      </w:r>
      <w:proofErr w:type="gramEnd"/>
      <w:r>
        <w:rPr>
          <w:color w:val="000000" w:themeColor="text1"/>
          <w:lang w:eastAsia="zh-CN"/>
        </w:rPr>
        <w:t>余额较上年末大幅减少其他应收款153,604,219.200.71%432,814,112.762.35%-1.64%主要是应收代垫款项较上年末减少所致递延所得税资产162,629,160.460.75%59,177,179.190.32%0.43%主要是衍生金融资产的公允价值变动损益产生的递延所得税资产较上年末增加所致其他非流动资产44,621,977.710.21%102,840,097.190.56%-0.35%主要是本期末预付供应商的工程设备款减少所致衍生金融负债606,883,722.152.81%103,243,733.730.56%2.25%主要是因汇率变动，深科技东莞、深科技苏州尚未到期的金融衍生品的公允价值较上年末减少所致其他应付款207,153,105.490.96%129,452,609.440.70%0.26%主要是本期末应付其他单位款项较</w:t>
      </w:r>
      <w:r>
        <w:rPr>
          <w:color w:val="000000" w:themeColor="text1"/>
          <w:lang w:eastAsia="zh-CN"/>
        </w:rPr>
        <w:lastRenderedPageBreak/>
        <w:t>上年末有所增加预计负债8,818,792.100.04%4,290,474.070.02%0.02%主要是本期末计提的产品售后保证较上年末有所增加递延所得税负债298,748,854.931.38%138,406,474.340.75%0.63%主要是本期末衍生金融资产的公允价值变动损益产生的递延所得税负债较上年末增加2、以公允价值计量的资产和负债√适用□不适用单位：元本期公允价值变动损益计入权益的累计公允价值变动本期计提的减值</w:t>
      </w:r>
      <w:proofErr w:type="gramStart"/>
      <w:r>
        <w:rPr>
          <w:color w:val="000000" w:themeColor="text1"/>
          <w:lang w:eastAsia="zh-CN"/>
        </w:rPr>
        <w:t>本期本期</w:t>
      </w:r>
      <w:proofErr w:type="gramEnd"/>
      <w:r>
        <w:rPr>
          <w:color w:val="000000" w:themeColor="text1"/>
          <w:lang w:eastAsia="zh-CN"/>
        </w:rPr>
        <w:t>项目期初</w:t>
      </w:r>
      <w:proofErr w:type="gramStart"/>
      <w:r>
        <w:rPr>
          <w:color w:val="000000" w:themeColor="text1"/>
          <w:lang w:eastAsia="zh-CN"/>
        </w:rPr>
        <w:t>数购买</w:t>
      </w:r>
      <w:proofErr w:type="gramEnd"/>
      <w:r>
        <w:rPr>
          <w:color w:val="000000" w:themeColor="text1"/>
          <w:lang w:eastAsia="zh-CN"/>
        </w:rPr>
        <w:t>出售期末数</w:t>
      </w:r>
      <w:proofErr w:type="gramStart"/>
      <w:r>
        <w:rPr>
          <w:color w:val="000000" w:themeColor="text1"/>
          <w:lang w:eastAsia="zh-CN"/>
        </w:rPr>
        <w:t>金额金额</w:t>
      </w:r>
      <w:proofErr w:type="gramEnd"/>
      <w:r>
        <w:rPr>
          <w:color w:val="000000" w:themeColor="text1"/>
          <w:lang w:eastAsia="zh-CN"/>
        </w:rPr>
        <w:t>金融资产1.交易性金融资产（不含衍生金融资产）2.衍生金融资产146,877,450.57768,104,583.91914,982,034.483.其他债权投资4.其他权益工具投资132,289,000.00-31,100,790.00101,188,210.00金融资产小计279,166,450.57768,104,583.91-31,100,790.001,016,170,244.48投资性房地产579,084,370.00-11,210,988.00567,873,382.00生产性生物资产其他上述合计858,250,820.57756,893,595.91-31,100,790.001,584,043,626.48金融负债103,243,733.73503,639,988.42606,883,722.15报告期内公司主要资产计量属性是否发生重大变化□是√否3、截至报告期末的资产权利受限情况√适用□不适用截至报告期末，公司资产所有权或使用权受到限制的金额为61.66亿元，详见财务报表附注五、（五十四）。六、投资状况1、总体情况√适用□不适用报告期投资额（元）上年同期投资额（元）变动幅度246,020,000.00150,000,000.0064.01%2、报告期内获取的重大的股权投资情况√适用□不适用单位：万元被投资公司名称主要业务投资方式投资金额持股比例资金来源合作方投资期限产品类型截至资产负债表日的进展情况预计收益本期投资盈亏是否涉诉披露日期（如有）披露索引（如有）</w:t>
      </w:r>
      <w:proofErr w:type="gramStart"/>
      <w:r>
        <w:rPr>
          <w:color w:val="000000" w:themeColor="text1"/>
          <w:lang w:eastAsia="zh-CN"/>
        </w:rPr>
        <w:t>合肥沛顿存储</w:t>
      </w:r>
      <w:proofErr w:type="gramEnd"/>
      <w:r>
        <w:rPr>
          <w:color w:val="000000" w:themeColor="text1"/>
          <w:lang w:eastAsia="zh-CN"/>
        </w:rPr>
        <w:t>存储芯片</w:t>
      </w:r>
      <w:proofErr w:type="gramStart"/>
      <w:r>
        <w:rPr>
          <w:color w:val="000000" w:themeColor="text1"/>
          <w:lang w:eastAsia="zh-CN"/>
        </w:rPr>
        <w:t>封测与模组制造</w:t>
      </w:r>
      <w:proofErr w:type="gramEnd"/>
      <w:r>
        <w:rPr>
          <w:color w:val="000000" w:themeColor="text1"/>
          <w:lang w:eastAsia="zh-CN"/>
        </w:rPr>
        <w:t>新设22,35255.88%非公开发行股票募集资金大基金二期、合肥经开投创、中</w:t>
      </w:r>
      <w:proofErr w:type="gramStart"/>
      <w:r>
        <w:rPr>
          <w:color w:val="000000" w:themeColor="text1"/>
          <w:lang w:eastAsia="zh-CN"/>
        </w:rPr>
        <w:t>电聚芯长期</w:t>
      </w:r>
      <w:proofErr w:type="gramEnd"/>
      <w:r>
        <w:rPr>
          <w:color w:val="000000" w:themeColor="text1"/>
          <w:lang w:eastAsia="zh-CN"/>
        </w:rPr>
        <w:t>控股子公司各方已完成首期出资合计4亿元--12.37</w:t>
      </w:r>
      <w:proofErr w:type="gramStart"/>
      <w:r>
        <w:rPr>
          <w:color w:val="000000" w:themeColor="text1"/>
          <w:lang w:eastAsia="zh-CN"/>
        </w:rPr>
        <w:t>否</w:t>
      </w:r>
      <w:proofErr w:type="gramEnd"/>
      <w:r>
        <w:rPr>
          <w:color w:val="000000" w:themeColor="text1"/>
          <w:lang w:eastAsia="zh-CN"/>
        </w:rPr>
        <w:t>2020年10月17日2020-064号公告合计----22,352--------------12.37------注：公司计划以募集资金投资，目前该项目正在进行中，不足部分由自有资金补足。3、报告期内正在进行的重大的非股权投资情况√适用□不适用单位：万元项目名称投资方式是否为固定资产投资投资项目涉及行业本报告期投入金额截至报告期末累计实际投入金额资金来源项目进度预计收益截止报告期末累计实现的收益未达到计划进度和预计收益的原因披露日期披露</w:t>
      </w:r>
      <w:proofErr w:type="gramStart"/>
      <w:r>
        <w:rPr>
          <w:color w:val="000000" w:themeColor="text1"/>
          <w:lang w:eastAsia="zh-CN"/>
        </w:rPr>
        <w:t>索引深科自</w:t>
      </w:r>
      <w:proofErr w:type="gramEnd"/>
      <w:r>
        <w:rPr>
          <w:color w:val="000000" w:themeColor="text1"/>
          <w:lang w:eastAsia="zh-CN"/>
        </w:rPr>
        <w:t>建是其他59,156.83135,677.90自筹地上主体不适用----2017年092017-054结构局部技城（C栋）</w:t>
      </w:r>
      <w:proofErr w:type="gramStart"/>
      <w:r>
        <w:rPr>
          <w:color w:val="000000" w:themeColor="text1"/>
          <w:lang w:eastAsia="zh-CN"/>
        </w:rPr>
        <w:t>封月02日</w:t>
      </w:r>
      <w:proofErr w:type="gramEnd"/>
      <w:r>
        <w:rPr>
          <w:color w:val="000000" w:themeColor="text1"/>
          <w:lang w:eastAsia="zh-CN"/>
        </w:rPr>
        <w:t>号公告顶合计------59,156.83135,677.90------------根据深圳市政府有关部门批准，公司彩田工业园城市更新单元项目（简称“深科技城”）拆除用地面积57,977.50平方米，开发建设用地面积43,828.40平方米，计容积率建筑面积为262,970平方米，其中产业研发用房195,280平方米（含创新型产业用房9,770平方米），产业配套用房62,050平方米（含配套商业21,000平方米、配套宿舍41,050平方米），公共配套设施5,640平方米。另外，允许在地下开发16,000平方米商业用房。公司彩田工业园城市更新单元项目采用“拆除重建”的更新方式分两期投资建设，深科技城一期拆除用地面积33,800.25㎡，</w:t>
      </w:r>
      <w:proofErr w:type="gramStart"/>
      <w:r>
        <w:rPr>
          <w:color w:val="000000" w:themeColor="text1"/>
          <w:lang w:eastAsia="zh-CN"/>
        </w:rPr>
        <w:t>计容建筑面积</w:t>
      </w:r>
      <w:proofErr w:type="gramEnd"/>
      <w:r>
        <w:rPr>
          <w:color w:val="000000" w:themeColor="text1"/>
          <w:lang w:eastAsia="zh-CN"/>
        </w:rPr>
        <w:t>173,580㎡，总投资额约32.36亿元人民币（含税），该事项已经公司第八届董事会第十三次会议和2017年度（第二次）临时股东大会审议批准，具体内容请参阅2017年9月2日、2017年9月20日的《中国证券报》《证券时报》和巨潮资讯网上的相关公告。根据深科技城前期建设规划，计划于2020年年底前C栋、B</w:t>
      </w:r>
      <w:proofErr w:type="gramStart"/>
      <w:r>
        <w:rPr>
          <w:color w:val="000000" w:themeColor="text1"/>
          <w:lang w:eastAsia="zh-CN"/>
        </w:rPr>
        <w:t>栋产业研发楼</w:t>
      </w:r>
      <w:proofErr w:type="gramEnd"/>
      <w:r>
        <w:rPr>
          <w:color w:val="000000" w:themeColor="text1"/>
          <w:lang w:eastAsia="zh-CN"/>
        </w:rPr>
        <w:t>竣工，2021年年底A栋总部办公楼竣工。本项目为深圳市城市更新单元项目，</w:t>
      </w:r>
      <w:r>
        <w:rPr>
          <w:color w:val="000000" w:themeColor="text1"/>
          <w:lang w:eastAsia="zh-CN"/>
        </w:rPr>
        <w:lastRenderedPageBreak/>
        <w:t>因城市规划更新、新冠疫情、地铁通道建设及方案优化等因素影响，预计C栋将于2021年年底竣工验收，B栋将于2022年4月底竣工验收，A栋将于2022年年底竣工验收。4、金融资产投资(1)证券投资情况□适用√不适用衍生</w:t>
      </w:r>
      <w:proofErr w:type="gramStart"/>
      <w:r>
        <w:rPr>
          <w:color w:val="000000" w:themeColor="text1"/>
          <w:lang w:eastAsia="zh-CN"/>
        </w:rPr>
        <w:t>品投资</w:t>
      </w:r>
      <w:proofErr w:type="gramEnd"/>
      <w:r>
        <w:rPr>
          <w:color w:val="000000" w:themeColor="text1"/>
          <w:lang w:eastAsia="zh-CN"/>
        </w:rPr>
        <w:t>操作方名称关联关系是否关联交易衍生</w:t>
      </w:r>
      <w:proofErr w:type="gramStart"/>
      <w:r>
        <w:rPr>
          <w:color w:val="000000" w:themeColor="text1"/>
          <w:lang w:eastAsia="zh-CN"/>
        </w:rPr>
        <w:t>品投资</w:t>
      </w:r>
      <w:proofErr w:type="gramEnd"/>
      <w:r>
        <w:rPr>
          <w:color w:val="000000" w:themeColor="text1"/>
          <w:lang w:eastAsia="zh-CN"/>
        </w:rPr>
        <w:t>类型衍生</w:t>
      </w:r>
      <w:proofErr w:type="gramStart"/>
      <w:r>
        <w:rPr>
          <w:color w:val="000000" w:themeColor="text1"/>
          <w:lang w:eastAsia="zh-CN"/>
        </w:rPr>
        <w:t>品投资</w:t>
      </w:r>
      <w:proofErr w:type="gramEnd"/>
      <w:r>
        <w:rPr>
          <w:color w:val="000000" w:themeColor="text1"/>
          <w:lang w:eastAsia="zh-CN"/>
        </w:rPr>
        <w:t>初始投资金额起始日期终止日期期</w:t>
      </w:r>
      <w:proofErr w:type="gramStart"/>
      <w:r>
        <w:rPr>
          <w:color w:val="000000" w:themeColor="text1"/>
          <w:lang w:eastAsia="zh-CN"/>
        </w:rPr>
        <w:t>初投资</w:t>
      </w:r>
      <w:proofErr w:type="gramEnd"/>
      <w:r>
        <w:rPr>
          <w:color w:val="000000" w:themeColor="text1"/>
          <w:lang w:eastAsia="zh-CN"/>
        </w:rPr>
        <w:t>金额报告期内购入金额报告期内售出金额计提减值准备金额（如有）期末投资金额期末投资金额占公司报告期末净资产比例报告期实际损益金额法国巴黎银行、</w:t>
      </w:r>
      <w:proofErr w:type="gramStart"/>
      <w:r>
        <w:rPr>
          <w:color w:val="000000" w:themeColor="text1"/>
          <w:lang w:eastAsia="zh-CN"/>
        </w:rPr>
        <w:t>星展银行</w:t>
      </w:r>
      <w:proofErr w:type="gramEnd"/>
      <w:r>
        <w:rPr>
          <w:color w:val="000000" w:themeColor="text1"/>
          <w:lang w:eastAsia="zh-CN"/>
        </w:rPr>
        <w:t>、汇丰银行、兴业银行、中信银行、华夏银行、</w:t>
      </w:r>
      <w:proofErr w:type="gramStart"/>
      <w:r>
        <w:rPr>
          <w:color w:val="000000" w:themeColor="text1"/>
          <w:lang w:eastAsia="zh-CN"/>
        </w:rPr>
        <w:t>浙商银行</w:t>
      </w:r>
      <w:proofErr w:type="gramEnd"/>
      <w:r>
        <w:rPr>
          <w:color w:val="000000" w:themeColor="text1"/>
          <w:lang w:eastAsia="zh-CN"/>
        </w:rPr>
        <w:t>工行、招行、杭州银行、农行、民生银行、交行、宁波银行、</w:t>
      </w:r>
      <w:proofErr w:type="gramStart"/>
      <w:r>
        <w:rPr>
          <w:color w:val="000000" w:themeColor="text1"/>
          <w:lang w:eastAsia="zh-CN"/>
        </w:rPr>
        <w:t>无否远期</w:t>
      </w:r>
      <w:proofErr w:type="gramEnd"/>
      <w:r>
        <w:rPr>
          <w:color w:val="000000" w:themeColor="text1"/>
          <w:lang w:eastAsia="zh-CN"/>
        </w:rPr>
        <w:t>结售汇666,934.292018.1.32022.12.28687,178.79666,934.29482,815.48-871,297.60114.87%1,047.25汇丰银行香港支行</w:t>
      </w:r>
      <w:proofErr w:type="gramStart"/>
      <w:r>
        <w:rPr>
          <w:color w:val="000000" w:themeColor="text1"/>
          <w:lang w:eastAsia="zh-CN"/>
        </w:rPr>
        <w:t>无否利率</w:t>
      </w:r>
      <w:proofErr w:type="gramEnd"/>
      <w:r>
        <w:rPr>
          <w:color w:val="000000" w:themeColor="text1"/>
          <w:lang w:eastAsia="zh-CN"/>
        </w:rPr>
        <w:t>互换76,292.602019.3.42021.5.14107,670.8076,292.60107,670.80-76,292.6010.06%-合计743,226.89794,849.59743,226.89590,486.28947,590.20124.93%1,047.25衍生</w:t>
      </w:r>
      <w:proofErr w:type="gramStart"/>
      <w:r>
        <w:rPr>
          <w:color w:val="000000" w:themeColor="text1"/>
          <w:lang w:eastAsia="zh-CN"/>
        </w:rPr>
        <w:t>品投资</w:t>
      </w:r>
      <w:proofErr w:type="gramEnd"/>
      <w:r>
        <w:rPr>
          <w:color w:val="000000" w:themeColor="text1"/>
          <w:lang w:eastAsia="zh-CN"/>
        </w:rPr>
        <w:t>资金来源自有资金涉诉情况（如适用）无衍生</w:t>
      </w:r>
      <w:proofErr w:type="gramStart"/>
      <w:r>
        <w:rPr>
          <w:color w:val="000000" w:themeColor="text1"/>
          <w:lang w:eastAsia="zh-CN"/>
        </w:rPr>
        <w:t>品投资</w:t>
      </w:r>
      <w:proofErr w:type="gramEnd"/>
      <w:r>
        <w:rPr>
          <w:color w:val="000000" w:themeColor="text1"/>
          <w:lang w:eastAsia="zh-CN"/>
        </w:rPr>
        <w:t>审批董事会公告披露日期（如有)2019年11月15日衍生</w:t>
      </w:r>
      <w:proofErr w:type="gramStart"/>
      <w:r>
        <w:rPr>
          <w:color w:val="000000" w:themeColor="text1"/>
          <w:lang w:eastAsia="zh-CN"/>
        </w:rPr>
        <w:t>品投资</w:t>
      </w:r>
      <w:proofErr w:type="gramEnd"/>
      <w:r>
        <w:rPr>
          <w:color w:val="000000" w:themeColor="text1"/>
          <w:lang w:eastAsia="zh-CN"/>
        </w:rPr>
        <w:t>审批股东会公告披露日期（如有)2019年12月13日1、公司在做每一笔NDF组合业务时，到期收益是既定的，不存在不可预知的敞口及风险。公司开展的NDF组合业务的主要风险为人民币质押存款（一般为一年期）的银行倒闭，导致存款本金和利息的损失。公司都是选择大型银行合作开展NDF组合业务，这类银行经营稳健、资信良好，发生倒闭的概率极小，基本上可以不考虑由于其倒闭可能给公司带来的损失。2、远期结汇业务（DF业务）是以约定的价格卖出美元，结成人民币。远期结汇业务（DF业务）下，如果人民币贬值，合约将可能受到损失3、利率互换是在对未来利率预期的基础上，交易双方签订一个合约，规定在一定时间内，双方定期交换，以一个名义本金作基础，按不同形式利率计算出利息。利率互换已锁定公司信用证贴现美元的借款利率，收益固定，市场利率的波动不会对公司产生任何风险。报告期衍生品持仓的风险分析及控制措施说明（包括但不限于市场风险、流动性风险、信用风险、操作风险、法律风险等）已投资衍生</w:t>
      </w:r>
      <w:proofErr w:type="gramStart"/>
      <w:r>
        <w:rPr>
          <w:color w:val="000000" w:themeColor="text1"/>
          <w:lang w:eastAsia="zh-CN"/>
        </w:rPr>
        <w:t>品报告</w:t>
      </w:r>
      <w:proofErr w:type="gramEnd"/>
      <w:r>
        <w:rPr>
          <w:color w:val="000000" w:themeColor="text1"/>
          <w:lang w:eastAsia="zh-CN"/>
        </w:rPr>
        <w:t>期内市场价格或产品公允价值变动的情况，对衍生品公允价值的分析应披露具体使用的方法及相关假设与参数的设定1、公司开展的远期结售汇业务在报告期内的公允价值变动为增加了26,446.46万元；2、对衍生品的公允价值的计算依据来源于银行提供的期末时点的公允价值。报告期公司衍生品的会计政策及会计核算具体原则与上</w:t>
      </w:r>
      <w:proofErr w:type="gramStart"/>
      <w:r>
        <w:rPr>
          <w:color w:val="000000" w:themeColor="text1"/>
          <w:lang w:eastAsia="zh-CN"/>
        </w:rPr>
        <w:t>一报告</w:t>
      </w:r>
      <w:proofErr w:type="gramEnd"/>
      <w:r>
        <w:rPr>
          <w:color w:val="000000" w:themeColor="text1"/>
          <w:lang w:eastAsia="zh-CN"/>
        </w:rPr>
        <w:t>期相比是否发生重大变化的说明截止报告日，公司开展的远期外汇交易业务，其会计核算原则依据为《企业会计准则》。鉴于公司每年有大量的原材料进口及成品出口业务，需要对外支付和收取美元，为了规避汇率波动风险以及外币贷款利率波动风险，公司通过利用合理的金融工具降低汇兑损失、锁定交易成本，有利于降低风险，提高公司竞争力。公司已为操作衍生品业务进行了严格的内部评估，建立了相应的监管机制，配备了专职财务人员，签约机构经营稳健、资信良好。我们认为：公司开展的衍生品业务主要为锁定汇率、利率，规避汇率、利率波动风险，符合法律、法规的有关规定。独立董事对公司衍生</w:t>
      </w:r>
      <w:proofErr w:type="gramStart"/>
      <w:r>
        <w:rPr>
          <w:color w:val="000000" w:themeColor="text1"/>
          <w:lang w:eastAsia="zh-CN"/>
        </w:rPr>
        <w:t>品投资</w:t>
      </w:r>
      <w:proofErr w:type="gramEnd"/>
      <w:r>
        <w:rPr>
          <w:color w:val="000000" w:themeColor="text1"/>
          <w:lang w:eastAsia="zh-CN"/>
        </w:rPr>
        <w:t>及风险控制情况的专项意见（2）衍生</w:t>
      </w:r>
      <w:proofErr w:type="gramStart"/>
      <w:r>
        <w:rPr>
          <w:color w:val="000000" w:themeColor="text1"/>
          <w:lang w:eastAsia="zh-CN"/>
        </w:rPr>
        <w:t>品投资</w:t>
      </w:r>
      <w:proofErr w:type="gramEnd"/>
      <w:r>
        <w:rPr>
          <w:color w:val="000000" w:themeColor="text1"/>
          <w:lang w:eastAsia="zh-CN"/>
        </w:rPr>
        <w:t>情况深圳长城开发科技股份有限公司2020年年度报告全文√适用□不适用单位：万元。265、持有其他上市公司股权情况单位：万元证券代码证券简称初始投资金额期初持股数量(万股)期初持股比例期末持股数量(万股)期末持股比例期末账面</w:t>
      </w:r>
      <w:proofErr w:type="gramStart"/>
      <w:r>
        <w:rPr>
          <w:color w:val="000000" w:themeColor="text1"/>
          <w:lang w:eastAsia="zh-CN"/>
        </w:rPr>
        <w:t>值报告</w:t>
      </w:r>
      <w:proofErr w:type="gramEnd"/>
      <w:r>
        <w:rPr>
          <w:color w:val="000000" w:themeColor="text1"/>
          <w:lang w:eastAsia="zh-CN"/>
        </w:rPr>
        <w:t>期损益报告期所有者权益变动会计核算科目股份来源002855捷</w:t>
      </w:r>
      <w:proofErr w:type="gramStart"/>
      <w:r>
        <w:rPr>
          <w:color w:val="000000" w:themeColor="text1"/>
          <w:lang w:eastAsia="zh-CN"/>
        </w:rPr>
        <w:t>荣技术</w:t>
      </w:r>
      <w:proofErr w:type="gramEnd"/>
      <w:r>
        <w:rPr>
          <w:color w:val="000000" w:themeColor="text1"/>
          <w:lang w:eastAsia="zh-CN"/>
        </w:rPr>
        <w:t>1,843.411,006.003.99%973.903.88%10,118.82--3,093.43其他权益工具投资长期股</w:t>
      </w:r>
      <w:r>
        <w:rPr>
          <w:color w:val="000000" w:themeColor="text1"/>
          <w:lang w:eastAsia="zh-CN"/>
        </w:rPr>
        <w:lastRenderedPageBreak/>
        <w:t>权投资合计1,843.411,006.003.99%973.903.88%10,118.82--3,093.43--说明：报告期内，公司通过深圳证券交易所竞价交易系统减</w:t>
      </w:r>
      <w:proofErr w:type="gramStart"/>
      <w:r>
        <w:rPr>
          <w:color w:val="000000" w:themeColor="text1"/>
          <w:lang w:eastAsia="zh-CN"/>
        </w:rPr>
        <w:t>持捷荣技术</w:t>
      </w:r>
      <w:proofErr w:type="gramEnd"/>
      <w:r>
        <w:rPr>
          <w:color w:val="000000" w:themeColor="text1"/>
          <w:lang w:eastAsia="zh-CN"/>
        </w:rPr>
        <w:t>股份32.1万股，取得其他综合收益约353.91万元，截至报告期末公司持股比例3.88%。6、募集资金使用情况□适用√不适用公司报告期无募集资金使用情况。七、重大资产和股权出售1、出售重大资产情况□适用√不适用公司报告期未出售重大资产。2、出售重大股权情况□适用√不适用27</w:t>
      </w:r>
      <w:proofErr w:type="gramStart"/>
      <w:r>
        <w:rPr>
          <w:color w:val="000000" w:themeColor="text1"/>
          <w:lang w:eastAsia="zh-CN"/>
        </w:rPr>
        <w:t>八</w:t>
      </w:r>
      <w:proofErr w:type="gramEnd"/>
      <w:r>
        <w:rPr>
          <w:color w:val="000000" w:themeColor="text1"/>
          <w:lang w:eastAsia="zh-CN"/>
        </w:rPr>
        <w:t>、主要控股参股公司分析√适用□不适用主要子公司及对公司净利润</w:t>
      </w:r>
      <w:proofErr w:type="gramStart"/>
      <w:r>
        <w:rPr>
          <w:color w:val="000000" w:themeColor="text1"/>
          <w:lang w:eastAsia="zh-CN"/>
        </w:rPr>
        <w:t>影响达</w:t>
      </w:r>
      <w:proofErr w:type="gramEnd"/>
      <w:r>
        <w:rPr>
          <w:color w:val="000000" w:themeColor="text1"/>
          <w:lang w:eastAsia="zh-CN"/>
        </w:rPr>
        <w:t>10%以上的参股公司情况深圳长城开发科技股份有限公司2020年年度报告全文单位：万元公司名称公司类型主要业务注册资本总资产净资产营业收入营业利润净利润深科技香港子公司商业贸易390万港币408,205.45145,591.121,928,662.09139,687.72121,005.53深科技苏州子公司开发、设计、生产大容量磁盘驱动器磁头、电脑硬盘用线路板等电子部件6,000万美元290,790.4267,254.92433,462.32-38,422.64-32,330.42深科技成都子公司从事智能电表等相关电力计量业务1亿人民币170,699.3782,610.97212,591.1835,812.3432,080.16深</w:t>
      </w:r>
      <w:proofErr w:type="gramStart"/>
      <w:r>
        <w:rPr>
          <w:color w:val="000000" w:themeColor="text1"/>
          <w:lang w:eastAsia="zh-CN"/>
        </w:rPr>
        <w:t>科技沛顿子公司</w:t>
      </w:r>
      <w:proofErr w:type="gramEnd"/>
      <w:r>
        <w:rPr>
          <w:color w:val="000000" w:themeColor="text1"/>
          <w:lang w:eastAsia="zh-CN"/>
        </w:rPr>
        <w:t>内存芯片制造及芯片封装、测试等3,000万美元200,441.4687,836.12287,578.039,905.478,453.25深科技东莞子公司从事电子产品的研发、制造和销售8亿人民币543,824.7582,187.34777,381.94-22,291.37-15,905.91深科技惠州子公司从事手机通讯类电子产品的研发、制造和销售等7.05亿人民币106,974.1361,301.4393,939.092,484.312,949.23深科技磁记录子公司从事硬盘</w:t>
      </w:r>
      <w:proofErr w:type="gramStart"/>
      <w:r>
        <w:rPr>
          <w:color w:val="000000" w:themeColor="text1"/>
          <w:lang w:eastAsia="zh-CN"/>
        </w:rPr>
        <w:t>盘</w:t>
      </w:r>
      <w:proofErr w:type="gramEnd"/>
      <w:r>
        <w:rPr>
          <w:color w:val="000000" w:themeColor="text1"/>
          <w:lang w:eastAsia="zh-CN"/>
        </w:rPr>
        <w:t>基片的开发、研制、生产和销售等2.51亿人民币41,081.7735,835.4256,809.759,649.908,669.40深科技马来西亚子公司开发、设计、生产电脑硬盘用线路板等电子部件8,500万人民币112,232.3047,140.28160,229.139,530.748,361.52报告期内取得和处置子公司的情况√适用□不适用公司名称报告期内取得和处置子公司方式对整体生产和业绩的影响合肥沛顿科技有限公司新设成立无重大影响合肥沛顿存储科技有限公司新设成立无重大影响28主要控股参股公司情况说明：1.报告期内，深科技香港净利润同比增加12.11亿元，深科技苏州净利润同比减少5.49亿元，深科技东莞净利润同比减少1.91亿元，主要是由于公允价值变动收益影响所致，深科技香港、深科技苏州和深科技东莞本期公允价值变动收益分别10.09亿元、-3.87亿元和-3.06亿元，分别比去年同期增加12.65亿元、减少4.47亿元和减少3.28亿元；2.报告期内，深</w:t>
      </w:r>
      <w:proofErr w:type="gramStart"/>
      <w:r>
        <w:rPr>
          <w:color w:val="000000" w:themeColor="text1"/>
          <w:lang w:eastAsia="zh-CN"/>
        </w:rPr>
        <w:t>科技沛顿主营</w:t>
      </w:r>
      <w:proofErr w:type="gramEnd"/>
      <w:r>
        <w:rPr>
          <w:color w:val="000000" w:themeColor="text1"/>
          <w:lang w:eastAsia="zh-CN"/>
        </w:rPr>
        <w:t>业务规模持续扩张，营业收入同比大幅增长；实现净利润0.85亿元，其中受人民币大幅升值影响，汇兑损失大幅增加，外币资产负债评估汇兑净损失约0.33亿元。3.报告期内，深科技惠州净利润同比下降0.15亿元，主要是手机代工业务下降所致；4.报告期内，深科技磁记录净利润同比增加0.28亿元，主要是硬盘</w:t>
      </w:r>
      <w:proofErr w:type="gramStart"/>
      <w:r>
        <w:rPr>
          <w:color w:val="000000" w:themeColor="text1"/>
          <w:lang w:eastAsia="zh-CN"/>
        </w:rPr>
        <w:t>盘</w:t>
      </w:r>
      <w:proofErr w:type="gramEnd"/>
      <w:r>
        <w:rPr>
          <w:color w:val="000000" w:themeColor="text1"/>
          <w:lang w:eastAsia="zh-CN"/>
        </w:rPr>
        <w:t>基片业务增长所致；5.报告期内，深</w:t>
      </w:r>
      <w:proofErr w:type="gramStart"/>
      <w:r>
        <w:rPr>
          <w:color w:val="000000" w:themeColor="text1"/>
          <w:lang w:eastAsia="zh-CN"/>
        </w:rPr>
        <w:t>科技马</w:t>
      </w:r>
      <w:proofErr w:type="gramEnd"/>
      <w:r>
        <w:rPr>
          <w:color w:val="000000" w:themeColor="text1"/>
          <w:lang w:eastAsia="zh-CN"/>
        </w:rPr>
        <w:t>拉西亚净利润同比增加0.19</w:t>
      </w:r>
      <w:r>
        <w:rPr>
          <w:lang w:eastAsia="zh-CN"/>
        </w:rPr>
        <w:t>的</w:t>
      </w:r>
      <w:proofErr w:type="gramStart"/>
      <w:r>
        <w:rPr>
          <w:lang w:eastAsia="zh-CN"/>
        </w:rPr>
        <w:t>展望展望</w:t>
      </w:r>
      <w:proofErr w:type="gramEnd"/>
      <w:r>
        <w:rPr>
          <w:lang w:eastAsia="zh-CN"/>
        </w:rPr>
        <w:t>未来，公司将依托在电子行业积累的强大研发技术和丰富经验，紧跟市场发展趋势进行前瞻性战略部署与规划，聚焦先进制造和产业资源优势优化业务结构，形成以聚焦发展</w:t>
      </w:r>
      <w:r>
        <w:rPr>
          <w:color w:val="000000" w:themeColor="text1"/>
          <w:highlight w:val="red"/>
          <w:lang w:eastAsia="zh-CN"/>
        </w:rPr>
        <w:t>存储半导体</w:t>
      </w:r>
      <w:r>
        <w:rPr>
          <w:lang w:eastAsia="zh-CN"/>
        </w:rPr>
        <w:t>、</w:t>
      </w:r>
      <w:r>
        <w:rPr>
          <w:color w:val="000000" w:themeColor="text1"/>
          <w:highlight w:val="red"/>
          <w:lang w:eastAsia="zh-CN"/>
        </w:rPr>
        <w:t>自主产品</w:t>
      </w:r>
      <w:r>
        <w:rPr>
          <w:lang w:eastAsia="zh-CN"/>
        </w:rPr>
        <w:t>和</w:t>
      </w:r>
      <w:r>
        <w:rPr>
          <w:highlight w:val="red"/>
          <w:lang w:eastAsia="zh-CN"/>
        </w:rPr>
        <w:t>高端制造</w:t>
      </w:r>
      <w:r>
        <w:rPr>
          <w:lang w:eastAsia="zh-CN"/>
        </w:rPr>
        <w:t>的业务发展模式，全面提升公司竞争优势和行业影响力。2021年恰逢十四五“开局之年”，国内外经济形势依然多变，在全球电子产业走向垂直化整合和水平分工的双重趋势下，我国制造业由高速增长向高质量发展转型，</w:t>
      </w:r>
      <w:r>
        <w:rPr>
          <w:highlight w:val="red"/>
          <w:lang w:eastAsia="zh-CN"/>
        </w:rPr>
        <w:t>集成电路</w:t>
      </w:r>
      <w:r>
        <w:rPr>
          <w:lang w:eastAsia="zh-CN"/>
        </w:rPr>
        <w:t>、</w:t>
      </w:r>
      <w:r>
        <w:rPr>
          <w:highlight w:val="red"/>
          <w:lang w:eastAsia="zh-CN"/>
        </w:rPr>
        <w:t>高端电子制造</w:t>
      </w:r>
      <w:r>
        <w:rPr>
          <w:lang w:eastAsia="zh-CN"/>
        </w:rPr>
        <w:t>、</w:t>
      </w:r>
      <w:r>
        <w:rPr>
          <w:highlight w:val="red"/>
          <w:lang w:eastAsia="zh-CN"/>
        </w:rPr>
        <w:t>新型智能</w:t>
      </w:r>
      <w:r w:rsidRPr="009C2A0B">
        <w:rPr>
          <w:lang w:eastAsia="zh-CN"/>
        </w:rPr>
        <w:t>产品等</w:t>
      </w:r>
      <w:r>
        <w:rPr>
          <w:lang w:eastAsia="zh-CN"/>
        </w:rPr>
        <w:t>行业的细分领域将实现较快增速，下游各应用市场规模也将相应增长。公司将积极把握全球电子行业市场恢复的发展机遇，逐步</w:t>
      </w:r>
      <w:proofErr w:type="gramStart"/>
      <w:r>
        <w:rPr>
          <w:lang w:eastAsia="zh-CN"/>
        </w:rPr>
        <w:t>剥离低</w:t>
      </w:r>
      <w:proofErr w:type="gramEnd"/>
      <w:r>
        <w:rPr>
          <w:lang w:eastAsia="zh-CN"/>
        </w:rPr>
        <w:t>附加</w:t>
      </w:r>
      <w:r>
        <w:rPr>
          <w:lang w:eastAsia="zh-CN"/>
        </w:rPr>
        <w:lastRenderedPageBreak/>
        <w:t>值业务，聚焦三大业务板块。依托在</w:t>
      </w:r>
      <w:r>
        <w:rPr>
          <w:highlight w:val="red"/>
          <w:lang w:eastAsia="zh-CN"/>
        </w:rPr>
        <w:t>存储</w:t>
      </w:r>
      <w:proofErr w:type="gramStart"/>
      <w:r>
        <w:rPr>
          <w:highlight w:val="red"/>
          <w:lang w:eastAsia="zh-CN"/>
        </w:rPr>
        <w:t>半导体封测</w:t>
      </w:r>
      <w:r>
        <w:rPr>
          <w:lang w:eastAsia="zh-CN"/>
        </w:rPr>
        <w:t>领域</w:t>
      </w:r>
      <w:proofErr w:type="gramEnd"/>
      <w:r>
        <w:rPr>
          <w:lang w:eastAsia="zh-CN"/>
        </w:rPr>
        <w:t>的领先技术积累和先进制造优势，充分利用</w:t>
      </w:r>
      <w:r>
        <w:rPr>
          <w:highlight w:val="red"/>
          <w:lang w:eastAsia="zh-CN"/>
        </w:rPr>
        <w:t>芯片封装</w:t>
      </w:r>
      <w:r>
        <w:rPr>
          <w:lang w:eastAsia="zh-CN"/>
        </w:rPr>
        <w:t>、</w:t>
      </w:r>
      <w:r>
        <w:rPr>
          <w:highlight w:val="red"/>
          <w:lang w:eastAsia="zh-CN"/>
        </w:rPr>
        <w:t>测试</w:t>
      </w:r>
      <w:r>
        <w:rPr>
          <w:lang w:eastAsia="zh-CN"/>
        </w:rPr>
        <w:t>、</w:t>
      </w:r>
      <w:r>
        <w:rPr>
          <w:highlight w:val="red"/>
          <w:lang w:eastAsia="zh-CN"/>
        </w:rPr>
        <w:t>模</w:t>
      </w:r>
      <w:proofErr w:type="gramStart"/>
      <w:r>
        <w:rPr>
          <w:highlight w:val="red"/>
          <w:lang w:eastAsia="zh-CN"/>
        </w:rPr>
        <w:t>组</w:t>
      </w:r>
      <w:r>
        <w:rPr>
          <w:lang w:eastAsia="zh-CN"/>
        </w:rPr>
        <w:t>制造</w:t>
      </w:r>
      <w:proofErr w:type="gramEnd"/>
      <w:r>
        <w:rPr>
          <w:lang w:eastAsia="zh-CN"/>
        </w:rPr>
        <w:t>的一站式全产业链研发制造服务能力，深化与行业龙头客户的战略合作。同时，围绕客户和市场需求，加速推进合肥制造基地的建成和量产，加大存储产品关键技术和</w:t>
      </w:r>
      <w:proofErr w:type="gramStart"/>
      <w:r>
        <w:rPr>
          <w:lang w:eastAsia="zh-CN"/>
        </w:rPr>
        <w:t>先进封测</w:t>
      </w:r>
      <w:proofErr w:type="gramEnd"/>
      <w:r>
        <w:rPr>
          <w:lang w:eastAsia="zh-CN"/>
        </w:rPr>
        <w:t>技术的研发投入，为公司在</w:t>
      </w:r>
      <w:r>
        <w:rPr>
          <w:highlight w:val="red"/>
          <w:lang w:eastAsia="zh-CN"/>
        </w:rPr>
        <w:t>半导体</w:t>
      </w:r>
      <w:r>
        <w:rPr>
          <w:lang w:eastAsia="zh-CN"/>
        </w:rPr>
        <w:t>领域长远布局奠定坚实基础，持续巩固和提升竞争优势。在自主产品领域将重点发展计量系统产品，不断加大研发投入和高端技术人才的引进，强化核心产品的市场引领作用，继续加强海外业务的拓展，并着眼国内发展机遇，聚合产业链资源优势，拓展市场发展空间。在高端制造领域，强化各事业部门核心竞争力，将高壁垒、高附加值业务板块作为发展重点，加大研发投入和关键技术的攻克，提升先进制造及高端研发能力，提高业务整体盈利水平。公司彩田工业园城市更新单元项目采用“拆除重建”的更新方式分两期投资建设，深科技城一期拆除用地面积33,800.25㎡，</w:t>
      </w:r>
      <w:proofErr w:type="gramStart"/>
      <w:r>
        <w:rPr>
          <w:lang w:eastAsia="zh-CN"/>
        </w:rPr>
        <w:t>计容建筑面积</w:t>
      </w:r>
      <w:proofErr w:type="gramEnd"/>
      <w:r>
        <w:rPr>
          <w:lang w:eastAsia="zh-CN"/>
        </w:rPr>
        <w:t>173,580㎡，总投资额约32.36亿元人民币（含税），该事项已经公司第八届董事会第十三次会议和2017年度（第二次）临时股东大会审议批准，具体内容请参阅2017年9月2日、2017年9月20日的《中国证券报》《证券时报》和巨潮资讯网上的相关公告。随着公司整体产能和业务布局的优化，公司将继续通过国际化集团化运营平台和资源，围绕大客户发展方向和需求来强化海内外研发、生产、制造的联动布局，加速推动合肥产业基地项目的建成投产，同时积极推进深科技城项目建设，打造具有国际吸引力、竞争力、影响力的高端产业集群。公司面临的风险和应对措施1、市场竞争风险公司核心业务向</w:t>
      </w:r>
      <w:r>
        <w:rPr>
          <w:highlight w:val="red"/>
          <w:lang w:eastAsia="zh-CN"/>
        </w:rPr>
        <w:t>存储半导体</w:t>
      </w:r>
      <w:r>
        <w:rPr>
          <w:lang w:eastAsia="zh-CN"/>
        </w:rPr>
        <w:t>和</w:t>
      </w:r>
      <w:r>
        <w:rPr>
          <w:highlight w:val="red"/>
          <w:lang w:eastAsia="zh-CN"/>
        </w:rPr>
        <w:t>医疗产品</w:t>
      </w:r>
      <w:r>
        <w:rPr>
          <w:lang w:eastAsia="zh-CN"/>
        </w:rPr>
        <w:t>、</w:t>
      </w:r>
      <w:r>
        <w:rPr>
          <w:highlight w:val="red"/>
          <w:lang w:eastAsia="zh-CN"/>
        </w:rPr>
        <w:t>汽车电子</w:t>
      </w:r>
      <w:r>
        <w:rPr>
          <w:lang w:eastAsia="zh-CN"/>
        </w:rPr>
        <w:t>等高端制造领域聚焦，这些行业市场化程度高，面临国内外众多知名厂商的激烈竞争。为此，公司依托集团整体优势，坚持自主创新，注重前瞻性的技术研究和储备。同时，积极开展国际合作，加大全球战略布局，持续推动公司经营业务的可持续健康发展。2、汇率风险公司有大量的原材料进口和产品出口，对应大量的收付汇需求。随着国际贸易摩擦的加剧，如人民币汇率水平发生较大波动，汇兑损益将对公司利润构成一定影响。以正常生产经营为基础，以具体经营为依托，以套期保值为目的，公司自开展外汇衍生业务以来，严格按照制度规定进行，遵循合法、审慎、安全、有效的原则。3、国际局势风险当前国际经贸摩擦给产业、经济运行都带来较大不确定性，为应对此风险，公司构建国内大循环，国内国际双循环的新发展格局，加快市场拓展步伐，打造具有竞争力的市场地位。4、新冠疫情常态化风险新冠疫情在全球范围内持续蔓延，有逐渐常态化的趋势。世界经济下行风险加剧，不稳定不确定因素显着增多。公司经营面临诸多难题和挑战，部分供应链中断或供应不足，物流运力等问题导致部分业务生产受到影响。针对此风险，公司将密切关注疫情的发展情况，积极分析市场走势，加强应对措施，在做好防疫防控的同时，加速升级传统优势产业，积极布局战略性新兴产业，以保持公司的可持续健康发展。十一、接待调研、沟通、采访等活动情况1、报告期内接待调研、沟通、采访等活动登记表√适用□不适用接待时间接待地点接待方式接待对象类型接待对象谈论的主要内容及提供的资料调研的基本情况索引2020年01月10日公司本部商务会议室实地调研机构平安基金、博时基金、景顺长城基金、安信证券、国信证券公司战略发展、经营及行业情况深科技2020年01月10日投资者关系活动记录表2020年01月21日公司本部商务会议室实地调研机构大成基金、华商基金、南方基金、信</w:t>
      </w:r>
      <w:proofErr w:type="gramStart"/>
      <w:r>
        <w:rPr>
          <w:lang w:eastAsia="zh-CN"/>
        </w:rPr>
        <w:t>达澳银</w:t>
      </w:r>
      <w:proofErr w:type="gramEnd"/>
      <w:r>
        <w:rPr>
          <w:lang w:eastAsia="zh-CN"/>
        </w:rPr>
        <w:t>基金、摩根华鑫基金、东兴证券公司战略发展、经营及行业情况深科技2020年01月21日投资者关系活动记录表2020年10月19日公司本部商务会议室实地</w:t>
      </w:r>
      <w:r>
        <w:rPr>
          <w:lang w:eastAsia="zh-CN"/>
        </w:rPr>
        <w:lastRenderedPageBreak/>
        <w:t>调研机构易方达基金等公司战略发展、经营及行业情况深科技2020年10月19日投资者关系活动记录表2020年10月22日公司本部商务会议室电话沟通机构</w:t>
      </w:r>
      <w:proofErr w:type="spellStart"/>
      <w:r>
        <w:rPr>
          <w:lang w:eastAsia="zh-CN"/>
        </w:rPr>
        <w:t>JNKSecuritiesCorp</w:t>
      </w:r>
      <w:proofErr w:type="spellEnd"/>
      <w:r>
        <w:rPr>
          <w:lang w:eastAsia="zh-CN"/>
        </w:rPr>
        <w:t>、</w:t>
      </w:r>
      <w:proofErr w:type="spellStart"/>
      <w:r>
        <w:rPr>
          <w:lang w:eastAsia="zh-CN"/>
        </w:rPr>
        <w:t>LightStreetCapital</w:t>
      </w:r>
      <w:proofErr w:type="spellEnd"/>
      <w:r>
        <w:rPr>
          <w:lang w:eastAsia="zh-CN"/>
        </w:rPr>
        <w:t>、</w:t>
      </w:r>
      <w:proofErr w:type="spellStart"/>
      <w:r>
        <w:rPr>
          <w:lang w:eastAsia="zh-CN"/>
        </w:rPr>
        <w:t>Puyumacapital</w:t>
      </w:r>
      <w:proofErr w:type="spellEnd"/>
      <w:r>
        <w:rPr>
          <w:lang w:eastAsia="zh-CN"/>
        </w:rPr>
        <w:t>公司战略发展、经营及行业情况深科技2020年10月22日投资者关系活动记录表2020年10月23日公司本部商务会议室实地调研机构国信证券、中融人寿、金信基金、国信基金公司战略发展、经营及行业情况深科技2020年10月23日投资者关系活动记录表2020年11月03日公司本部商务会议室实地调研机构方正富邦、同泰基金、红塔红土、创金合信、幂方资本、深圳中金银海投资基金、深圳龙腾资产、鼎夏投资、民生证券、金友创智资产管理有限公司公司战略发展、经营及行业情况深科技2020年11月03日投资者关系活动记录表2020年11月09日公司本部商务会议室实地调研机构招商证券、仁和保险资管、方圆基金、华强资管、上元资本、枫池资产管理、前海互兴资产、前海东宏资产管理、上海理成资产、深圳市润财投资、江苏公司战略发展、经营及行业情况深科技2020年11月09日投资者关系活动记录表深圳市丰盛德投资、长城基金、芯云资本、民寿投资、河床资本；中信建投、华泰保兴基金、中信银行资管、中信证券、安信证券、明达资产2020年1-12月-电话沟通个人公司战略发展、经营及行业情况2020年1-12月-书面问询其他公司战略发展、经营及行业情况深交所互动易投资者问题接待次数7接待机构数量50接待个人数量23接待其他对象数量0是否披露、透露或泄露未公开重大信息否</w:t>
      </w:r>
    </w:p>
    <w:p w14:paraId="7073FB76" w14:textId="77777777" w:rsidR="00772C74" w:rsidRDefault="00000000">
      <w:pPr>
        <w:rPr>
          <w:lang w:eastAsia="zh-CN"/>
        </w:rPr>
      </w:pPr>
      <w:r>
        <w:rPr>
          <w:rFonts w:hint="eastAsia"/>
          <w:lang w:eastAsia="zh-CN"/>
        </w:rPr>
        <w:t>标签总量：103</w:t>
      </w:r>
    </w:p>
    <w:sectPr w:rsidR="00772C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F575" w14:textId="77777777" w:rsidR="00AD12C4" w:rsidRDefault="00AD12C4">
      <w:pPr>
        <w:spacing w:line="240" w:lineRule="auto"/>
      </w:pPr>
      <w:r>
        <w:separator/>
      </w:r>
    </w:p>
  </w:endnote>
  <w:endnote w:type="continuationSeparator" w:id="0">
    <w:p w14:paraId="6D256978" w14:textId="77777777" w:rsidR="00AD12C4" w:rsidRDefault="00AD1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7735C" w14:textId="77777777" w:rsidR="00AD12C4" w:rsidRDefault="00AD12C4">
      <w:pPr>
        <w:spacing w:after="0"/>
      </w:pPr>
      <w:r>
        <w:separator/>
      </w:r>
    </w:p>
  </w:footnote>
  <w:footnote w:type="continuationSeparator" w:id="0">
    <w:p w14:paraId="684C1359" w14:textId="77777777" w:rsidR="00AD12C4" w:rsidRDefault="00AD12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5849974">
    <w:abstractNumId w:val="1"/>
  </w:num>
  <w:num w:numId="2" w16cid:durableId="1375698006">
    <w:abstractNumId w:val="4"/>
  </w:num>
  <w:num w:numId="3" w16cid:durableId="1606572405">
    <w:abstractNumId w:val="5"/>
  </w:num>
  <w:num w:numId="4" w16cid:durableId="2068332904">
    <w:abstractNumId w:val="2"/>
  </w:num>
  <w:num w:numId="5" w16cid:durableId="1192918183">
    <w:abstractNumId w:val="0"/>
  </w:num>
  <w:num w:numId="6" w16cid:durableId="957031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772C74"/>
    <w:rsid w:val="009C2A0B"/>
    <w:rsid w:val="00A4172B"/>
    <w:rsid w:val="00AA1D8D"/>
    <w:rsid w:val="00AD12C4"/>
    <w:rsid w:val="00B47730"/>
    <w:rsid w:val="00CB0664"/>
    <w:rsid w:val="00FC693F"/>
    <w:rsid w:val="010D0349"/>
    <w:rsid w:val="01363F50"/>
    <w:rsid w:val="08DC4C5E"/>
    <w:rsid w:val="094A4C39"/>
    <w:rsid w:val="0C195281"/>
    <w:rsid w:val="0EF820C6"/>
    <w:rsid w:val="11317B11"/>
    <w:rsid w:val="21FE52E4"/>
    <w:rsid w:val="24390D5F"/>
    <w:rsid w:val="253812EF"/>
    <w:rsid w:val="2C016B75"/>
    <w:rsid w:val="338F274A"/>
    <w:rsid w:val="3DF03914"/>
    <w:rsid w:val="42BC4BDD"/>
    <w:rsid w:val="48F737C5"/>
    <w:rsid w:val="4B8464B4"/>
    <w:rsid w:val="4CDD5E7C"/>
    <w:rsid w:val="4F8833C9"/>
    <w:rsid w:val="50970A38"/>
    <w:rsid w:val="569A4DDE"/>
    <w:rsid w:val="60251BBC"/>
    <w:rsid w:val="60F17CF0"/>
    <w:rsid w:val="62975068"/>
    <w:rsid w:val="62DD677E"/>
    <w:rsid w:val="776B3F01"/>
    <w:rsid w:val="7FF84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7CDDD"/>
  <w14:defaultImageDpi w14:val="300"/>
  <w15:docId w15:val="{E700ED93-96A3-40C3-BD76-96CE2722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2428</Words>
  <Characters>13845</Characters>
  <Application>Microsoft Office Word</Application>
  <DocSecurity>0</DocSecurity>
  <Lines>115</Lines>
  <Paragraphs>32</Paragraphs>
  <ScaleCrop>false</ScaleCrop>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926E478AD67547EAB3DEC80E910769FE</vt:lpwstr>
  </property>
</Properties>
</file>