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B4FE2" w14:textId="77777777" w:rsidR="00A57634" w:rsidRDefault="00000000">
      <w:pPr>
        <w:rPr>
          <w:lang w:eastAsia="zh-CN"/>
        </w:rPr>
      </w:pPr>
      <w:r>
        <w:rPr>
          <w:lang w:eastAsia="zh-CN"/>
        </w:rPr>
        <w:t>第四节董事</w:t>
      </w:r>
      <w:r w:rsidRPr="00E829CF">
        <w:rPr>
          <w:lang w:eastAsia="zh-CN"/>
        </w:rPr>
        <w:t>会报告一、概述2014年，国际经济总体增长乏力，复苏步伐低于预期，国内经济进入“新常态”的转型升级格局，经济下行压力明显增大。面对严峻的国内外经济环境和巨大的市场竞争压力，公司在董事会的领导下，积极应对复杂严峻的经济形势，努力克服经营管理中的困难，及时抓住市场机遇，拓展新业务与新市场，不断优化和加强内部管理，使得公司各项事业取得了整体协调的发展。二、主营业务分析1、概述公司回顾总结前期披露的发展战略和经营</w:t>
      </w:r>
      <w:r>
        <w:rPr>
          <w:lang w:eastAsia="zh-CN"/>
        </w:rPr>
        <w:t>计划在报告期内的进展情况报告期内，公司不断加强坪山大工业区资产的管理工作，继续通过各种途径，积极盘活公司现有资产、加强废旧设备处理与闲置厂房的租赁工作，全年累计实现租赁收入约1,095万元，较去年同期增长64.66%。在提高公司闲置资产利用率的同时，缓解了公司因资产折旧带来的财务压力。报告期内，鉴于我国政府对环境产业发展的政策支持以及环境产业广阔的发展空间，为拓展公司在</w:t>
      </w:r>
      <w:r>
        <w:rPr>
          <w:highlight w:val="red"/>
          <w:lang w:eastAsia="zh-CN"/>
        </w:rPr>
        <w:t>环境</w:t>
      </w:r>
      <w:r w:rsidRPr="00E829CF">
        <w:rPr>
          <w:lang w:eastAsia="zh-CN"/>
        </w:rPr>
        <w:t>产业领</w:t>
      </w:r>
      <w:r>
        <w:rPr>
          <w:lang w:eastAsia="zh-CN"/>
        </w:rPr>
        <w:t>域方面的发展，公司在今年以自有资金出资5000万与北京清华同衡规划设计研究院有限公司</w:t>
      </w:r>
      <w:r w:rsidRPr="00E829CF">
        <w:rPr>
          <w:lang w:eastAsia="zh-CN"/>
        </w:rPr>
        <w:t>、深圳市前海弘</w:t>
      </w:r>
      <w:proofErr w:type="gramStart"/>
      <w:r w:rsidRPr="00E829CF">
        <w:rPr>
          <w:lang w:eastAsia="zh-CN"/>
        </w:rPr>
        <w:t>泰清环投资</w:t>
      </w:r>
      <w:proofErr w:type="gramEnd"/>
      <w:r w:rsidRPr="00E829CF">
        <w:rPr>
          <w:lang w:eastAsia="zh-CN"/>
        </w:rPr>
        <w:t>合伙企业（有限合伙）共同</w:t>
      </w:r>
      <w:proofErr w:type="gramStart"/>
      <w:r w:rsidRPr="00E829CF">
        <w:rPr>
          <w:lang w:eastAsia="zh-CN"/>
        </w:rPr>
        <w:t>对清控人居</w:t>
      </w:r>
      <w:proofErr w:type="gramEnd"/>
      <w:r w:rsidRPr="00E829CF">
        <w:rPr>
          <w:lang w:eastAsia="zh-CN"/>
        </w:rPr>
        <w:t>进行了增资扩股。未来公司将继续拓展该公司业务，尽快使其产生规模及效益。同时，公司也将在相关行业领域继续寻找新的业务机会，进一步提升公司的竞争力，以保证公司的持续发展，为股东提供长期稳定的投资回报，。报告期内，结合公司的实际情况，公司充分发挥融资平台的优势，启动了非公开发行股票工作。10月31日，公司非公开发行股票的申请经中国证监会发行审核委员会审核，获得无条件通过。本次非公开发行新增股份110,000,000股，于2015年1月21日在深圳证券交易所上市。公司本次非公开发行的成功使公司净资产规模得到了进一步提</w:t>
      </w:r>
      <w:r>
        <w:rPr>
          <w:lang w:eastAsia="zh-CN"/>
        </w:rPr>
        <w:t>高，更有利于公司未来业务的拓展，从而为公司未来持续、稳定、快速发展奠定了坚实的基础。2014年，公司全年实现营业收入6,719.46万元，较去年同期减少90.69%；营业成本4,158.99万元，较去年同期减少94.10%。公司实际经营</w:t>
      </w:r>
      <w:proofErr w:type="gramStart"/>
      <w:r>
        <w:rPr>
          <w:lang w:eastAsia="zh-CN"/>
        </w:rPr>
        <w:t>业绩较曾公开</w:t>
      </w:r>
      <w:proofErr w:type="gramEnd"/>
      <w:r>
        <w:rPr>
          <w:lang w:eastAsia="zh-CN"/>
        </w:rPr>
        <w:t>披露过的本年度盈利预测低于或高于20%以上的差异原因□适用√不适用主要经营模式的变化情况□适用√不适用2、收入说明公司2014年度实现营业总收入为67,194,613.97元，比上年同期减少90.69%。其中：主营业务收入为56,247,502.73元，比同期减少92.13%；其他业务收入为10,947,111.24元，比同期增长64.68%。公司实物销售收入是否大于劳务收入□是√</w:t>
      </w:r>
      <w:proofErr w:type="gramStart"/>
      <w:r>
        <w:rPr>
          <w:lang w:eastAsia="zh-CN"/>
        </w:rPr>
        <w:t>否公司</w:t>
      </w:r>
      <w:proofErr w:type="gramEnd"/>
      <w:r>
        <w:rPr>
          <w:lang w:eastAsia="zh-CN"/>
        </w:rPr>
        <w:t>重大的在手订单情况□适用√不适用公司报告期内产品或服务发生重大变化或调整有关情况□适用√不适用公司主要销售客户情况公司前5大客户资料√适用□不适用主要客户其他情况说明□适用√不适用3、成本行业分类单位：</w:t>
      </w:r>
      <w:proofErr w:type="gramStart"/>
      <w:r>
        <w:rPr>
          <w:lang w:eastAsia="zh-CN"/>
        </w:rPr>
        <w:t>元产品</w:t>
      </w:r>
      <w:proofErr w:type="gramEnd"/>
      <w:r>
        <w:rPr>
          <w:lang w:eastAsia="zh-CN"/>
        </w:rPr>
        <w:t>分类单位：</w:t>
      </w:r>
      <w:proofErr w:type="gramStart"/>
      <w:r>
        <w:rPr>
          <w:lang w:eastAsia="zh-CN"/>
        </w:rPr>
        <w:t>元说明</w:t>
      </w:r>
      <w:proofErr w:type="gramEnd"/>
      <w:r>
        <w:rPr>
          <w:lang w:eastAsia="zh-CN"/>
        </w:rPr>
        <w:t>因本公司2014年度比上年减少了</w:t>
      </w:r>
      <w:r>
        <w:rPr>
          <w:highlight w:val="red"/>
          <w:lang w:eastAsia="zh-CN"/>
        </w:rPr>
        <w:t>贸易</w:t>
      </w:r>
      <w:r>
        <w:rPr>
          <w:lang w:eastAsia="zh-CN"/>
        </w:rPr>
        <w:t>业务规模，导致采购成本大幅减少；同时因2014年9月投资子公司，新并入合并报表而增加的</w:t>
      </w:r>
      <w:r>
        <w:rPr>
          <w:highlight w:val="red"/>
          <w:lang w:eastAsia="zh-CN"/>
        </w:rPr>
        <w:t>技术咨询</w:t>
      </w:r>
      <w:r>
        <w:rPr>
          <w:lang w:eastAsia="zh-CN"/>
        </w:rPr>
        <w:t>规划</w:t>
      </w:r>
      <w:r w:rsidRPr="00E829CF">
        <w:rPr>
          <w:lang w:eastAsia="zh-CN"/>
        </w:rPr>
        <w:t>服务业</w:t>
      </w:r>
      <w:r>
        <w:rPr>
          <w:lang w:eastAsia="zh-CN"/>
        </w:rPr>
        <w:t>务。公司主要供应</w:t>
      </w:r>
      <w:proofErr w:type="gramStart"/>
      <w:r>
        <w:rPr>
          <w:lang w:eastAsia="zh-CN"/>
        </w:rPr>
        <w:t>商情况</w:t>
      </w:r>
      <w:proofErr w:type="gramEnd"/>
      <w:r>
        <w:rPr>
          <w:lang w:eastAsia="zh-CN"/>
        </w:rPr>
        <w:t>公司前5名供应商资料√适用□不适用主要供应</w:t>
      </w:r>
      <w:proofErr w:type="gramStart"/>
      <w:r>
        <w:rPr>
          <w:lang w:eastAsia="zh-CN"/>
        </w:rPr>
        <w:t>商其他</w:t>
      </w:r>
      <w:proofErr w:type="gramEnd"/>
      <w:r>
        <w:rPr>
          <w:lang w:eastAsia="zh-CN"/>
        </w:rPr>
        <w:t>情况说明□适用√不适用4、费用销售费用2,325,586.47元，比上年同期增长100%；管理费用48,961,390.15元，比上年同期增长45.38%，这两项费用增加主要是因并入子公司新增加的费用；财务费用24,361,695.41元，比上年同期增长47.14%，主要是借款和借款利率都比上年同期增加而导致借款利息增加。5、</w:t>
      </w:r>
      <w:proofErr w:type="gramStart"/>
      <w:r>
        <w:rPr>
          <w:lang w:eastAsia="zh-CN"/>
        </w:rPr>
        <w:t>研发支出研发支出</w:t>
      </w:r>
      <w:proofErr w:type="gramEnd"/>
      <w:r>
        <w:rPr>
          <w:lang w:eastAsia="zh-CN"/>
        </w:rPr>
        <w:t>4,371,493.65元，是新增并入子公司增加的费用。6、现金流单位：</w:t>
      </w:r>
      <w:proofErr w:type="gramStart"/>
      <w:r>
        <w:rPr>
          <w:lang w:eastAsia="zh-CN"/>
        </w:rPr>
        <w:t>元相关</w:t>
      </w:r>
      <w:proofErr w:type="gramEnd"/>
      <w:r>
        <w:rPr>
          <w:lang w:eastAsia="zh-CN"/>
        </w:rPr>
        <w:t>数据同比发生变动30%以上的原因说明√适用□不适用经营活动现金流出较上年同期减少68.16%，主要是</w:t>
      </w:r>
      <w:r>
        <w:rPr>
          <w:highlight w:val="red"/>
          <w:lang w:eastAsia="zh-CN"/>
        </w:rPr>
        <w:t>贸易</w:t>
      </w:r>
      <w:r>
        <w:rPr>
          <w:lang w:eastAsia="zh-CN"/>
        </w:rPr>
        <w:t>业务规模减小，而导致采购商品支付的现金减少；经营活动产生的现金流量净额较上年同期增加155.65%，主要是采购商品支付的现金大幅减少，同时期初应收款项的收回，从而现金流量净额增加；</w:t>
      </w:r>
      <w:r>
        <w:rPr>
          <w:lang w:eastAsia="zh-CN"/>
        </w:rPr>
        <w:lastRenderedPageBreak/>
        <w:t>投资活动现金流入较上年同期增加100%，是新增并入子公司报表编制增加的项目；投资活动现金流出较上年同期减少46.83%，主要是本期无设备处置的税费、保证金等现金流出；投资活动产生的现金流量净额较上年同期</w:t>
      </w:r>
      <w:proofErr w:type="gramStart"/>
      <w:r>
        <w:rPr>
          <w:lang w:eastAsia="zh-CN"/>
        </w:rPr>
        <w:t>负增加</w:t>
      </w:r>
      <w:proofErr w:type="gramEnd"/>
      <w:r>
        <w:rPr>
          <w:lang w:eastAsia="zh-CN"/>
        </w:rPr>
        <w:t>49.09%，主要是本期无设备处置的税费、保证金等现金流出；筹资活动现金流入较上年同期减少60.73%，主要是本期借款流入的现金减少；筹资活动产生的现金流量净额较上年同期减少135.83%，主要是本期</w:t>
      </w:r>
      <w:r>
        <w:rPr>
          <w:highlight w:val="red"/>
          <w:lang w:eastAsia="zh-CN"/>
        </w:rPr>
        <w:t>贸易</w:t>
      </w:r>
      <w:r>
        <w:rPr>
          <w:lang w:eastAsia="zh-CN"/>
        </w:rPr>
        <w:t>业务规模减少，从而新增借款也减少；现金及现金等价物净增加额较上年同期增加241.72%，主要</w:t>
      </w:r>
      <w:r>
        <w:rPr>
          <w:highlight w:val="red"/>
          <w:lang w:eastAsia="zh-CN"/>
        </w:rPr>
        <w:t>贸易</w:t>
      </w:r>
      <w:r>
        <w:rPr>
          <w:lang w:eastAsia="zh-CN"/>
        </w:rPr>
        <w:t>业务货款的收回。报告期内公司经营活动的现金流量与本年度净利润存在重大差异的原因说明√适用□不适用（1）主要是本期</w:t>
      </w:r>
      <w:r>
        <w:rPr>
          <w:highlight w:val="red"/>
          <w:lang w:eastAsia="zh-CN"/>
        </w:rPr>
        <w:t>贸易</w:t>
      </w:r>
      <w:r>
        <w:rPr>
          <w:lang w:eastAsia="zh-CN"/>
        </w:rPr>
        <w:t>业务大幅减少，支付的货款也相应减少，同时，本期收回了期初的应收账款，使经营活动的现金流量净额大幅增加；（2）因公司固定费用较大，而报告期内</w:t>
      </w:r>
      <w:r>
        <w:rPr>
          <w:highlight w:val="red"/>
          <w:lang w:eastAsia="zh-CN"/>
        </w:rPr>
        <w:t>贸易</w:t>
      </w:r>
      <w:r>
        <w:rPr>
          <w:lang w:eastAsia="zh-CN"/>
        </w:rPr>
        <w:t>业务的减少，本年度又计提了大额的坏账准备，导致公司报告期</w:t>
      </w:r>
      <w:proofErr w:type="gramStart"/>
      <w:r>
        <w:rPr>
          <w:lang w:eastAsia="zh-CN"/>
        </w:rPr>
        <w:t>内亏损</w:t>
      </w:r>
      <w:proofErr w:type="gramEnd"/>
      <w:r>
        <w:rPr>
          <w:lang w:eastAsia="zh-CN"/>
        </w:rPr>
        <w:t>额度较大。以上原因导致公司报告期内现金流量与本年度净利润存在重大差异。三、主营业务构成情况单位：元公司主营业务数据统计口径在报告期发生调整的情况下，公司最近1年按报告期末口径调整后的主营业务数据□适用√不适用四、资产、负债状况分析1、资产项目重大变动情况单位：元2、负债项目重大变动情况□适用√不适用3、以公允价值计量的资产和负债□适用√不适用4、主要境外资产情况□适用√不适用五、核心竞争力分析无六、投资状况分析1、对外股权投资情况（1）对外投资情况√适用□不适用（2）持有金融企业股权情况□适用√不适用公司报告期未持有金融企业股权。（3）证券投资情况□适用√不适用公司报告期不存在证券投资。（4）持有其他上市公司股权情况的说明□适用√不适用公司报告期未持有其他上市公司股权。2、委托理财、衍生</w:t>
      </w:r>
      <w:proofErr w:type="gramStart"/>
      <w:r>
        <w:rPr>
          <w:lang w:eastAsia="zh-CN"/>
        </w:rPr>
        <w:t>品投资</w:t>
      </w:r>
      <w:proofErr w:type="gramEnd"/>
      <w:r>
        <w:rPr>
          <w:lang w:eastAsia="zh-CN"/>
        </w:rPr>
        <w:t>和委托贷款情况（1）委托理财情况□适用√不适用公司报告期不存在委托理财。（2）衍生</w:t>
      </w:r>
      <w:proofErr w:type="gramStart"/>
      <w:r>
        <w:rPr>
          <w:lang w:eastAsia="zh-CN"/>
        </w:rPr>
        <w:t>品投资</w:t>
      </w:r>
      <w:proofErr w:type="gramEnd"/>
      <w:r>
        <w:rPr>
          <w:lang w:eastAsia="zh-CN"/>
        </w:rPr>
        <w:t>情况□适用√不适用公司报告期不存在衍生品投资。（3）委托贷款情况□适用√不适用公司报告期不存在委托贷款。3、募集资金使用情况□适用√不适用公司报告期无募集资金使用情况。4、主要子公司、参股公司分析√适用□不适用主要子公司、参股公司情况单位：</w:t>
      </w:r>
      <w:proofErr w:type="gramStart"/>
      <w:r>
        <w:rPr>
          <w:lang w:eastAsia="zh-CN"/>
        </w:rPr>
        <w:t>元主要</w:t>
      </w:r>
      <w:proofErr w:type="gramEnd"/>
      <w:r>
        <w:rPr>
          <w:lang w:eastAsia="zh-CN"/>
        </w:rPr>
        <w:t>子公司、参股公司情况说明报告期内取得和处置子公司的情况√适用□不适用5、非募集资金投资的重大项目情况□适用√不适用公司报告期无非募集资金投资的重大项目。七、2015年1-3月经营业绩的预计预测年初至下</w:t>
      </w:r>
      <w:proofErr w:type="gramStart"/>
      <w:r>
        <w:rPr>
          <w:lang w:eastAsia="zh-CN"/>
        </w:rPr>
        <w:t>一报告</w:t>
      </w:r>
      <w:proofErr w:type="gramEnd"/>
      <w:r>
        <w:rPr>
          <w:lang w:eastAsia="zh-CN"/>
        </w:rPr>
        <w:t>期期末的累计净利润可能为亏损或者与上年同期相比发生大幅度变动的警示及原因说明√适用□不适用业绩预告情况：亏损业绩预告</w:t>
      </w:r>
      <w:r w:rsidRPr="00E829CF">
        <w:rPr>
          <w:lang w:eastAsia="zh-CN"/>
        </w:rPr>
        <w:t>填写数据类型：区间数八、公司控制的特殊目的主体情况□适用√不适用九、公司未来发展的展望未来的几年，将是</w:t>
      </w:r>
      <w:proofErr w:type="gramStart"/>
      <w:r w:rsidRPr="00E829CF">
        <w:rPr>
          <w:lang w:eastAsia="zh-CN"/>
        </w:rPr>
        <w:t>华控赛格实现</w:t>
      </w:r>
      <w:proofErr w:type="gramEnd"/>
      <w:r w:rsidRPr="00E829CF">
        <w:rPr>
          <w:lang w:eastAsia="zh-CN"/>
        </w:rPr>
        <w:t>转型的关键年，公司</w:t>
      </w:r>
      <w:proofErr w:type="gramStart"/>
      <w:r w:rsidRPr="00E829CF">
        <w:rPr>
          <w:lang w:eastAsia="zh-CN"/>
        </w:rPr>
        <w:t>将把握</w:t>
      </w:r>
      <w:proofErr w:type="gramEnd"/>
      <w:r w:rsidRPr="00E829CF">
        <w:rPr>
          <w:lang w:eastAsia="zh-CN"/>
        </w:rPr>
        <w:t>发展的机遇。加强核心竞争力建设，通过资金、人才的持续投入和经营模式的不断改革创新，加快推进公司发展，努力实现股东利益最大化，实</w:t>
      </w:r>
      <w:r>
        <w:rPr>
          <w:lang w:eastAsia="zh-CN"/>
        </w:rPr>
        <w:t>现公司持续稳定、健康快速的发展。1、进一步加大坪山厂区的管理工作。公司将继续加强坪山大工业区资产的管理工作，积极盘活公司现有资产、加强</w:t>
      </w:r>
      <w:r w:rsidRPr="00E829CF">
        <w:rPr>
          <w:highlight w:val="red"/>
          <w:lang w:eastAsia="zh-CN"/>
        </w:rPr>
        <w:t>废旧设备</w:t>
      </w:r>
      <w:r>
        <w:rPr>
          <w:lang w:eastAsia="zh-CN"/>
        </w:rPr>
        <w:t>处理与</w:t>
      </w:r>
      <w:r w:rsidRPr="00E829CF">
        <w:rPr>
          <w:highlight w:val="red"/>
          <w:lang w:eastAsia="zh-CN"/>
        </w:rPr>
        <w:t>闲置厂房</w:t>
      </w:r>
      <w:r>
        <w:rPr>
          <w:lang w:eastAsia="zh-CN"/>
        </w:rPr>
        <w:t>的</w:t>
      </w:r>
      <w:r>
        <w:rPr>
          <w:highlight w:val="red"/>
          <w:lang w:eastAsia="zh-CN"/>
        </w:rPr>
        <w:t>租赁</w:t>
      </w:r>
      <w:r>
        <w:rPr>
          <w:lang w:eastAsia="zh-CN"/>
        </w:rPr>
        <w:t>业务。2、大力推进坪山工业区“工改</w:t>
      </w:r>
      <w:r w:rsidRPr="00E829CF">
        <w:rPr>
          <w:lang w:eastAsia="zh-CN"/>
        </w:rPr>
        <w:t>工”项目改造。鉴</w:t>
      </w:r>
      <w:r>
        <w:rPr>
          <w:lang w:eastAsia="zh-CN"/>
        </w:rPr>
        <w:t>于公司坪山工业区土地性质的特殊性，结合深圳未来区域经济的发展政策和规划，</w:t>
      </w:r>
      <w:r w:rsidRPr="00E829CF">
        <w:rPr>
          <w:lang w:eastAsia="zh-CN"/>
        </w:rPr>
        <w:t>公司将加大力度积极推进实施公司坪山工业区的“工改工”项目，尽早明确产业发展目标和方向，完成对工业园区的发展规划工作。3、推动业务转型调整、寻求新的发展方向。公司将充分利用子公司形成的对外投资业务平台，积极拓展新业务与新市场，寻求新的利润增</w:t>
      </w:r>
      <w:r>
        <w:rPr>
          <w:lang w:eastAsia="zh-CN"/>
        </w:rPr>
        <w:t>长点，以保证公司的持续、健康、稳定的发展同时，加快实现公司跨越式的新发展。4、进一步</w:t>
      </w:r>
      <w:r w:rsidRPr="00E829CF">
        <w:rPr>
          <w:lang w:eastAsia="zh-CN"/>
        </w:rPr>
        <w:t>加强内控制度建设。公司将根据未来</w:t>
      </w:r>
      <w:r>
        <w:rPr>
          <w:lang w:eastAsia="zh-CN"/>
        </w:rPr>
        <w:t>战略发展要</w:t>
      </w:r>
      <w:r>
        <w:rPr>
          <w:lang w:eastAsia="zh-CN"/>
        </w:rPr>
        <w:lastRenderedPageBreak/>
        <w:t>求，进一步加</w:t>
      </w:r>
      <w:r w:rsidRPr="00E829CF">
        <w:rPr>
          <w:lang w:eastAsia="zh-CN"/>
        </w:rPr>
        <w:t>强内部控制制度的建设，并根据公司规模扩大和业务发展的需要，对内部控制制度适时调整和优化，不断完善法人治理结构，提高决策水平，降低经营风险，使之不断适合公司发展的需要。5、加强融资平台的利用。充分利用构建起的股权和债权融资多元化融资平台优势，进一步优化资本结构，实现公司的不断发展壮大。6、继续做好公司信息披露和投资者关系管理。严格按照《公司法》、《证券法》、《上市公司治理准则》等法律、法规的要求，进一步提升公司信息披露质量和投资者关系管理，促进公司规范运作。保证信息披露真实、准确、完整、有效、及时。同时，不断加强公司投资者关系管理，提升公司的无形价值，进一步增强投资者信心和树立公司良好的市场形象。7、进一步加强公司团队建设、发挥各职能部门的作用。公司将结合发展的实际情况，做好人员的储备、培养和配置工作，进一步完善人力资源考核评价制度，优化激励和约束机制。十、董事会、监事会对会计师事务所本报告期“非标准审计报告”的说明□适用√不适用十一、与上年度财务报告相比，会计政策、会计估计和核算方法发生变化的情况说明√适用□不适用我公司从2014年7月1日起执行了新的企业会计准则，与上年度相比涉及到变化的是企业会计准则是“企业会计准则第九号-职工薪酬，在核算范围上有变化，但对本报告期无重大影响。十二、报告期内发生重大会计差错更正需追溯重述的情况说明□适用√不适用公司报告期无重大会计差错更正需追溯重述的情况。十三、与上年度财务报告相比，合并报表范围发生变化的情况说明√适用□不适用合并报表范围增加了3个子公司，分别如下：十四、公司利润分配及分红派息情况报告期</w:t>
      </w:r>
      <w:proofErr w:type="gramStart"/>
      <w:r w:rsidRPr="00E829CF">
        <w:rPr>
          <w:lang w:eastAsia="zh-CN"/>
        </w:rPr>
        <w:t>内利润</w:t>
      </w:r>
      <w:proofErr w:type="gramEnd"/>
      <w:r w:rsidRPr="00E829CF">
        <w:rPr>
          <w:lang w:eastAsia="zh-CN"/>
        </w:rPr>
        <w:t>分配政策的制定、执行或调整情况√适用□不适用为完善和健全公司科学、持续、稳定的分红决策和监督机制，积极回报投资者，引导投资者树立长期投资和理性投资理念，充分维护公司股东尤其是公众股东和中小股东依法享有的资产收益等权利，增加股利分配决策的透明度和可操作性，形成稳定的回报周期，长期回报投资者。根据中国证监会《关于进一步落实上市公司现金分红有关事项的通知》（证监发[2012]37号）、《中国证监会有关部门负责人就上市公司现金分红情况答记者问》及《上市公司监管指引第3号——上市公司现金分红》（证监会公告[2013]43号）等相关文件的最新要求，公司董事会综合公司盈利能力、经营发展规划、股东回报、社会资金成本以及外部融资环境等因素，特制订《深圳华控赛格股份有限公司未来三年（2014年-2016年）股东回报规划》，并对《公司章程》进行了修订。《公司未来三年（2014—2016年）股东回报规划》明确了公司未来将坚持以现金分红为主，在符合相关法律法规及公司章程的情况下，保持利润分配政策的连续性和稳定性，并按照公司章程规定的程序，提出差异化的现金分红政策，明确分红的决策程序和机制，有效地保障投资者的合理投资回报。以上股东回报规划已经公司第六届董事会第十次临时会议和2014年第四次临时股东大会审议批准。根据中国证监会颁布的《上市公司监管指引第3号——上市公司现金分红》，公司重新调整了未来三年（2014-2016年）股东回报规划并修改了公司章程相关条款，详见公司2015年5月31日披露于巨潮资讯网（http://www.cninfo.com.cn）的《公司未来三年（2014-2016年）股东回报规划》。公司近3年（</w:t>
      </w:r>
      <w:proofErr w:type="gramStart"/>
      <w:r w:rsidRPr="00E829CF">
        <w:rPr>
          <w:lang w:eastAsia="zh-CN"/>
        </w:rPr>
        <w:t>含报告</w:t>
      </w:r>
      <w:proofErr w:type="gramEnd"/>
      <w:r w:rsidRPr="00E829CF">
        <w:rPr>
          <w:lang w:eastAsia="zh-CN"/>
        </w:rPr>
        <w:t>期）的利润分配预案或方案及资本公积金转增股本预案或方案情况公司2012年度利润分配及资本公积金转增股本预案：根据大华会计师事务所出具的【大华审字[2013]002669号】审计报告，公司2012年度实现归属于上市公司的净利润为3,166,051.08元，年初未分配润-1,609,017,504.66元，年</w:t>
      </w:r>
      <w:proofErr w:type="gramStart"/>
      <w:r w:rsidRPr="00E829CF">
        <w:rPr>
          <w:lang w:eastAsia="zh-CN"/>
        </w:rPr>
        <w:t>末可供分配</w:t>
      </w:r>
      <w:proofErr w:type="gramEnd"/>
      <w:r w:rsidRPr="00E829CF">
        <w:rPr>
          <w:lang w:eastAsia="zh-CN"/>
        </w:rPr>
        <w:t>利润为-1,605,851,453.58元。根据国家现行会计政</w:t>
      </w:r>
      <w:r w:rsidRPr="00E829CF">
        <w:rPr>
          <w:lang w:eastAsia="zh-CN"/>
        </w:rPr>
        <w:lastRenderedPageBreak/>
        <w:t>策和《公司章程》的有关规定，公司2012年不进行利润分配，也不实施资本公积金转增股本。公司2013年度利润分配及资本公积金转增股本预案：根据大华会计师事务所出具的【大华审字[2014]002644号】审计报告，公司2013年度实现归属于上市公司的净利润为-37,201,394.29元，年初未分配润-1,605,851,453.58元，年</w:t>
      </w:r>
      <w:proofErr w:type="gramStart"/>
      <w:r w:rsidRPr="00E829CF">
        <w:rPr>
          <w:lang w:eastAsia="zh-CN"/>
        </w:rPr>
        <w:t>末可供分配</w:t>
      </w:r>
      <w:proofErr w:type="gramEnd"/>
      <w:r w:rsidRPr="00E829CF">
        <w:rPr>
          <w:lang w:eastAsia="zh-CN"/>
        </w:rPr>
        <w:t>利润为-1,643,052,847.87元。根据国家现行会计政策和《公司章程》的有关规定，公司2013年不进行利润分配，也不实施资本公积金转增股本。公司2014年度利润分配及资本公积金转增股本预案：根据大华会计师事务所出具的【大华审字[2015]003227号】审计报告，公司2014年度实现归属于上市公司的净利润为-108,351,444.15元，年初未分配润-1,643,052,847.87元，年</w:t>
      </w:r>
      <w:proofErr w:type="gramStart"/>
      <w:r w:rsidRPr="00E829CF">
        <w:rPr>
          <w:lang w:eastAsia="zh-CN"/>
        </w:rPr>
        <w:t>末可供分配</w:t>
      </w:r>
      <w:proofErr w:type="gramEnd"/>
      <w:r w:rsidRPr="00E829CF">
        <w:rPr>
          <w:lang w:eastAsia="zh-CN"/>
        </w:rPr>
        <w:t>利润为-1,751,404,292.02元。根据国家现行会计政策和《公司章程》的有关规定，公司2014年不进行利润分配，也不实施资本公积金转增股本。公司近三年现金分红情况表：单位：元公司报告期内</w:t>
      </w:r>
      <w:proofErr w:type="gramStart"/>
      <w:r w:rsidRPr="00E829CF">
        <w:rPr>
          <w:lang w:eastAsia="zh-CN"/>
        </w:rPr>
        <w:t>盈利且母公司</w:t>
      </w:r>
      <w:proofErr w:type="gramEnd"/>
      <w:r w:rsidRPr="00E829CF">
        <w:rPr>
          <w:lang w:eastAsia="zh-CN"/>
        </w:rPr>
        <w:t>未分配利润</w:t>
      </w:r>
      <w:proofErr w:type="gramStart"/>
      <w:r w:rsidRPr="00E829CF">
        <w:rPr>
          <w:lang w:eastAsia="zh-CN"/>
        </w:rPr>
        <w:t>为正但未</w:t>
      </w:r>
      <w:proofErr w:type="gramEnd"/>
      <w:r w:rsidRPr="00E829CF">
        <w:rPr>
          <w:lang w:eastAsia="zh-CN"/>
        </w:rPr>
        <w:t>提出现金红利分配预案</w:t>
      </w:r>
      <w:r>
        <w:rPr>
          <w:lang w:eastAsia="zh-CN"/>
        </w:rPr>
        <w:t>□适用√不适用十五、本报告期利润分配及资本公积金转增股本预案□适用√不适用公司计划年度</w:t>
      </w:r>
      <w:proofErr w:type="gramStart"/>
      <w:r>
        <w:rPr>
          <w:lang w:eastAsia="zh-CN"/>
        </w:rPr>
        <w:t>不</w:t>
      </w:r>
      <w:proofErr w:type="gramEnd"/>
      <w:r>
        <w:rPr>
          <w:lang w:eastAsia="zh-CN"/>
        </w:rPr>
        <w:t>派发现金红利，不送红股，不以公积金转增股本。十六、社会责任情况□适用√不适用十七、报告期内接待调研、沟通、采访等活动登记表√适用□不适用。</w:t>
      </w:r>
    </w:p>
    <w:p w14:paraId="7F0477E7" w14:textId="77777777" w:rsidR="00A57634" w:rsidRDefault="00A57634">
      <w:pPr>
        <w:rPr>
          <w:lang w:eastAsia="zh-CN"/>
        </w:rPr>
      </w:pPr>
    </w:p>
    <w:p w14:paraId="6978D1DA" w14:textId="77777777" w:rsidR="00A57634" w:rsidRDefault="00000000">
      <w:pPr>
        <w:rPr>
          <w:lang w:eastAsia="zh-CN"/>
        </w:rPr>
      </w:pPr>
      <w:r>
        <w:rPr>
          <w:rFonts w:hint="eastAsia"/>
          <w:lang w:eastAsia="zh-CN"/>
        </w:rPr>
        <w:t>标签共计：45</w:t>
      </w:r>
    </w:p>
    <w:sectPr w:rsidR="00A576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590038" w14:textId="77777777" w:rsidR="00C85A2F" w:rsidRDefault="00C85A2F">
      <w:pPr>
        <w:spacing w:line="240" w:lineRule="auto"/>
      </w:pPr>
      <w:r>
        <w:separator/>
      </w:r>
    </w:p>
  </w:endnote>
  <w:endnote w:type="continuationSeparator" w:id="0">
    <w:p w14:paraId="088D8908" w14:textId="77777777" w:rsidR="00C85A2F" w:rsidRDefault="00C85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FB91E" w14:textId="77777777" w:rsidR="00C85A2F" w:rsidRDefault="00C85A2F">
      <w:pPr>
        <w:spacing w:after="0"/>
      </w:pPr>
      <w:r>
        <w:separator/>
      </w:r>
    </w:p>
  </w:footnote>
  <w:footnote w:type="continuationSeparator" w:id="0">
    <w:p w14:paraId="2A439F8C" w14:textId="77777777" w:rsidR="00C85A2F" w:rsidRDefault="00C85A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988707624">
    <w:abstractNumId w:val="1"/>
  </w:num>
  <w:num w:numId="2" w16cid:durableId="265618238">
    <w:abstractNumId w:val="4"/>
  </w:num>
  <w:num w:numId="3" w16cid:durableId="185993075">
    <w:abstractNumId w:val="5"/>
  </w:num>
  <w:num w:numId="4" w16cid:durableId="1862549094">
    <w:abstractNumId w:val="2"/>
  </w:num>
  <w:num w:numId="5" w16cid:durableId="885720565">
    <w:abstractNumId w:val="0"/>
  </w:num>
  <w:num w:numId="6" w16cid:durableId="236209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A57634"/>
    <w:rsid w:val="00AA1D8D"/>
    <w:rsid w:val="00B47730"/>
    <w:rsid w:val="00C85A2F"/>
    <w:rsid w:val="00CB0664"/>
    <w:rsid w:val="00E829CF"/>
    <w:rsid w:val="00FC693F"/>
    <w:rsid w:val="2EB55628"/>
    <w:rsid w:val="58CF0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E476F9"/>
  <w14:defaultImageDpi w14:val="300"/>
  <w15:docId w15:val="{9ACF990E-EFAA-4D5F-A0E6-9E6D455F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lsdException w:name="Colorful List Accent 2" w:uiPriority="72"/>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qFormat="1"/>
    <w:lsdException w:name="Dark List Accent 3" w:uiPriority="70" w:qFormat="1"/>
    <w:lsdException w:name="Colorful Shading Accent 3" w:uiPriority="7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qFormat/>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qFormat/>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802</Words>
  <Characters>4578</Characters>
  <Application>Microsoft Office Word</Application>
  <DocSecurity>0</DocSecurity>
  <Lines>38</Lines>
  <Paragraphs>10</Paragraphs>
  <ScaleCrop>false</ScaleCrop>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515714D702554B759BEF5B4BC40BEFC5</vt:lpwstr>
  </property>
</Properties>
</file>