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29AFE" w14:textId="77777777" w:rsidR="002C553E" w:rsidRDefault="00000000">
      <w:pPr>
        <w:rPr>
          <w:lang w:eastAsia="zh-CN"/>
        </w:rPr>
      </w:pPr>
      <w:r w:rsidRPr="00754DD8">
        <w:rPr>
          <w:lang w:eastAsia="zh-CN"/>
        </w:rPr>
        <w:t>2009年公司面临了严峻的外部形势：公司大宗产品市场疲软，价格下滑；天然气供应不足，影响装置高负荷运行。面对种种不利因素，公司全体干部职工坚定信心、团结拼搏，着重抓了以下工作：第一、加强对外协调，优化生产运行，全力搞好均衡生产，</w:t>
      </w:r>
      <w:r>
        <w:rPr>
          <w:lang w:eastAsia="zh-CN"/>
        </w:rPr>
        <w:t>用好宝贵的</w:t>
      </w:r>
      <w:r>
        <w:rPr>
          <w:highlight w:val="red"/>
          <w:lang w:eastAsia="zh-CN"/>
        </w:rPr>
        <w:t>天然气</w:t>
      </w:r>
      <w:r>
        <w:rPr>
          <w:lang w:eastAsia="zh-CN"/>
        </w:rPr>
        <w:t>资源，通过外购液氨优化</w:t>
      </w:r>
      <w:proofErr w:type="gramStart"/>
      <w:r>
        <w:rPr>
          <w:lang w:eastAsia="zh-CN"/>
        </w:rPr>
        <w:t>氨加工</w:t>
      </w:r>
      <w:proofErr w:type="gramEnd"/>
      <w:r>
        <w:rPr>
          <w:lang w:eastAsia="zh-CN"/>
        </w:rPr>
        <w:t>生产。第二，</w:t>
      </w:r>
      <w:r w:rsidRPr="00754DD8">
        <w:rPr>
          <w:lang w:eastAsia="zh-CN"/>
        </w:rPr>
        <w:t>继续加强工艺管理、设备管理、环保安全管理和质量管理，规范基础工作，推进设备故障隐患整治和预防工作，使公司内各套生产装置的长周期运行水平得到了很大提高。第三、紧紧围绕“止滑提速”、“三降一减”（即降低管理费用；降低财务费用；降低维修费；减少库存）的要求，以“降低成本、提高质量、实现安稳长满优生产”为主线，积极开展各项工作，保证主要生产装置安稳长满优运行。第四、坚持可持续发展，切实推进项目建设</w:t>
      </w:r>
      <w:r>
        <w:rPr>
          <w:lang w:eastAsia="zh-CN"/>
        </w:rPr>
        <w:t>和</w:t>
      </w:r>
      <w:r>
        <w:rPr>
          <w:highlight w:val="red"/>
          <w:lang w:eastAsia="zh-CN"/>
        </w:rPr>
        <w:t>节能减排</w:t>
      </w:r>
      <w:r>
        <w:rPr>
          <w:lang w:eastAsia="zh-CN"/>
        </w:rPr>
        <w:t>工作，加大</w:t>
      </w:r>
      <w:r w:rsidRPr="00754DD8">
        <w:rPr>
          <w:lang w:eastAsia="zh-CN"/>
        </w:rPr>
        <w:t>基本建设项目建设、技术攻关和技改项目建设、科研开发项目建设和</w:t>
      </w:r>
      <w:r>
        <w:rPr>
          <w:highlight w:val="red"/>
          <w:lang w:eastAsia="zh-CN"/>
        </w:rPr>
        <w:t>节能降耗</w:t>
      </w:r>
      <w:r w:rsidRPr="00754DD8">
        <w:rPr>
          <w:lang w:eastAsia="zh-CN"/>
        </w:rPr>
        <w:t>项目</w:t>
      </w:r>
      <w:r>
        <w:rPr>
          <w:lang w:eastAsia="zh-CN"/>
        </w:rPr>
        <w:t>等建设工作。第五、努力拓展市场，及时掌握市场动态，</w:t>
      </w:r>
      <w:r w:rsidRPr="00754DD8">
        <w:rPr>
          <w:lang w:eastAsia="zh-CN"/>
        </w:rPr>
        <w:t>加强供应商管理，切实做好比质比价工作，提高盈利能力。第六、组织开展深入学习实践科学发展观活动，以“共谋川化复兴，共建和谐家园”作为实践活动载体，坚持不懈抓好党的自身建设，</w:t>
      </w:r>
      <w:r>
        <w:rPr>
          <w:lang w:eastAsia="zh-CN"/>
        </w:rPr>
        <w:t>强化领导班子和干部队伍建设，促进了企业和谐发展。第七、以生产劳动竞赛为着力点，组织开展以“安稳长满优运行，实现全年方针目标”为主题的生产劳动竞赛，结合每个季度的工作任务和目标，圆满完成了“实现开门红”、“拿下双过半”、“奋战三季度”、“冲刺四季度”的奋斗目标。在恶劣的外部条件下，经过全体干部职工的共同努力，公司完成了所制定的全年生产任务，荣获了“全国企业文化建设先进单位”、“全国实施卓越绩效模式先进企业”、“全国质量管理小组活动先进企业”等一系列荣誉称号。川化“天府”牌商标被国家工商总局商标评审委员会认定为中国驰名商标。截至报告期末，公司共生产</w:t>
      </w:r>
      <w:r>
        <w:rPr>
          <w:highlight w:val="red"/>
          <w:lang w:eastAsia="zh-CN"/>
        </w:rPr>
        <w:t>合成氨</w:t>
      </w:r>
      <w:r>
        <w:rPr>
          <w:lang w:eastAsia="zh-CN"/>
        </w:rPr>
        <w:t>47.43万吨、</w:t>
      </w:r>
      <w:r>
        <w:rPr>
          <w:highlight w:val="red"/>
          <w:lang w:eastAsia="zh-CN"/>
        </w:rPr>
        <w:t>尿素</w:t>
      </w:r>
      <w:r>
        <w:rPr>
          <w:lang w:eastAsia="zh-CN"/>
        </w:rPr>
        <w:t>66.46万吨、</w:t>
      </w:r>
      <w:r>
        <w:rPr>
          <w:highlight w:val="red"/>
          <w:lang w:eastAsia="zh-CN"/>
        </w:rPr>
        <w:t>三聚氰胺</w:t>
      </w:r>
      <w:r>
        <w:rPr>
          <w:lang w:eastAsia="zh-CN"/>
        </w:rPr>
        <w:t>7.28万吨。实现营业收入225,133万元、营业利润7,062万元、归属于上市公司股东的净利润8,284万元。公司所处的行业为化肥、化工行业，属国家的基础性行业。</w:t>
      </w:r>
      <w:r>
        <w:rPr>
          <w:highlight w:val="red"/>
          <w:lang w:eastAsia="zh-CN"/>
        </w:rPr>
        <w:t>化肥</w:t>
      </w:r>
      <w:r>
        <w:rPr>
          <w:lang w:eastAsia="zh-CN"/>
        </w:rPr>
        <w:t>作为粮食的“粮食”是农业生产中的重要</w:t>
      </w:r>
      <w:r w:rsidRPr="00754DD8">
        <w:rPr>
          <w:lang w:eastAsia="zh-CN"/>
        </w:rPr>
        <w:t>战略资源，在保障粮食安全与人民生活健康方面起着举足轻重的作用。党中央和国务院特别重视农业和农业生产，从党的十七届三中全会出台《关于推进农村改革发展若干重大问题的决定》起，每年连续以一号文件的方式出台稳定农业生产的若干意见及惠农政策看，在政策上</w:t>
      </w:r>
      <w:r>
        <w:rPr>
          <w:lang w:eastAsia="zh-CN"/>
        </w:rPr>
        <w:t>给予农业的支持力度大。多年来一系列政策的出台，使重视农业成为全社会的共识。同时，据来自农业部门的统计，1980年至今，农业中</w:t>
      </w:r>
      <w:r>
        <w:rPr>
          <w:highlight w:val="red"/>
          <w:lang w:eastAsia="zh-CN"/>
        </w:rPr>
        <w:t>化肥</w:t>
      </w:r>
      <w:r>
        <w:rPr>
          <w:lang w:eastAsia="zh-CN"/>
        </w:rPr>
        <w:t>的消费量一直在增长，且已保持了25年的持续增长，递增率为7.3%。到2030年，我国人口将达到16亿，人均粮食按400公斤计算，</w:t>
      </w:r>
      <w:r>
        <w:rPr>
          <w:highlight w:val="red"/>
          <w:lang w:eastAsia="zh-CN"/>
        </w:rPr>
        <w:t>粮食</w:t>
      </w:r>
      <w:r>
        <w:rPr>
          <w:lang w:eastAsia="zh-CN"/>
        </w:rPr>
        <w:t>的产量就应为6.4亿吨。在</w:t>
      </w:r>
      <w:r w:rsidRPr="00754DD8">
        <w:rPr>
          <w:lang w:eastAsia="zh-CN"/>
        </w:rPr>
        <w:t>耕地面积不断减少的情况下，依靠增加面积来提高农产品产量已不太现实，长期来看，要增加粮食产量，</w:t>
      </w:r>
      <w:r>
        <w:rPr>
          <w:lang w:eastAsia="zh-CN"/>
        </w:rPr>
        <w:t>主要须依靠</w:t>
      </w:r>
      <w:r>
        <w:rPr>
          <w:highlight w:val="red"/>
          <w:lang w:eastAsia="zh-CN"/>
        </w:rPr>
        <w:t>农药</w:t>
      </w:r>
      <w:r>
        <w:rPr>
          <w:lang w:eastAsia="zh-CN"/>
        </w:rPr>
        <w:t>和</w:t>
      </w:r>
      <w:r>
        <w:rPr>
          <w:highlight w:val="red"/>
          <w:lang w:eastAsia="zh-CN"/>
        </w:rPr>
        <w:t>化肥</w:t>
      </w:r>
      <w:r>
        <w:rPr>
          <w:lang w:eastAsia="zh-CN"/>
        </w:rPr>
        <w:t>的投入</w:t>
      </w:r>
      <w:r w:rsidRPr="00754DD8">
        <w:rPr>
          <w:lang w:eastAsia="zh-CN"/>
        </w:rPr>
        <w:t>、科技进步和技术创新，</w:t>
      </w:r>
      <w:r>
        <w:rPr>
          <w:lang w:eastAsia="zh-CN"/>
        </w:rPr>
        <w:t>逐步提高作物的单产，而单产的提高也需要作物营养的支持，</w:t>
      </w:r>
      <w:r>
        <w:rPr>
          <w:highlight w:val="red"/>
          <w:lang w:eastAsia="zh-CN"/>
        </w:rPr>
        <w:t>化肥</w:t>
      </w:r>
      <w:r>
        <w:rPr>
          <w:lang w:eastAsia="zh-CN"/>
        </w:rPr>
        <w:t>施用量的多少对作物单产提高具有重要的作用。因此预计，在未来农业和农业生产中，</w:t>
      </w:r>
      <w:r>
        <w:rPr>
          <w:highlight w:val="red"/>
          <w:lang w:eastAsia="zh-CN"/>
        </w:rPr>
        <w:t>化肥</w:t>
      </w:r>
      <w:r>
        <w:rPr>
          <w:lang w:eastAsia="zh-CN"/>
        </w:rPr>
        <w:t>将不得不使用，需求不会萎缩，将得到大力发展。</w:t>
      </w:r>
    </w:p>
    <w:p w14:paraId="2670F5D1" w14:textId="77777777" w:rsidR="002C553E" w:rsidRDefault="002C553E">
      <w:pPr>
        <w:rPr>
          <w:lang w:eastAsia="zh-CN"/>
        </w:rPr>
      </w:pPr>
    </w:p>
    <w:p w14:paraId="569309FF" w14:textId="77777777" w:rsidR="002C553E" w:rsidRDefault="00000000">
      <w:pPr>
        <w:rPr>
          <w:lang w:eastAsia="zh-CN"/>
        </w:rPr>
      </w:pPr>
      <w:r>
        <w:rPr>
          <w:rFonts w:hint="eastAsia"/>
          <w:lang w:eastAsia="zh-CN"/>
        </w:rPr>
        <w:t>标签共计：34</w:t>
      </w:r>
    </w:p>
    <w:sectPr w:rsidR="002C553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3B65B" w14:textId="77777777" w:rsidR="00937F04" w:rsidRDefault="00937F04">
      <w:pPr>
        <w:spacing w:line="240" w:lineRule="auto"/>
      </w:pPr>
      <w:r>
        <w:separator/>
      </w:r>
    </w:p>
  </w:endnote>
  <w:endnote w:type="continuationSeparator" w:id="0">
    <w:p w14:paraId="01D74CD2" w14:textId="77777777" w:rsidR="00937F04" w:rsidRDefault="00937F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FD06E" w14:textId="77777777" w:rsidR="00937F04" w:rsidRDefault="00937F04">
      <w:pPr>
        <w:spacing w:after="0"/>
      </w:pPr>
      <w:r>
        <w:separator/>
      </w:r>
    </w:p>
  </w:footnote>
  <w:footnote w:type="continuationSeparator" w:id="0">
    <w:p w14:paraId="4E497EE9" w14:textId="77777777" w:rsidR="00937F04" w:rsidRDefault="00937F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3095218">
    <w:abstractNumId w:val="1"/>
  </w:num>
  <w:num w:numId="2" w16cid:durableId="221983206">
    <w:abstractNumId w:val="4"/>
  </w:num>
  <w:num w:numId="3" w16cid:durableId="395396742">
    <w:abstractNumId w:val="5"/>
  </w:num>
  <w:num w:numId="4" w16cid:durableId="514925789">
    <w:abstractNumId w:val="2"/>
  </w:num>
  <w:num w:numId="5" w16cid:durableId="1953245270">
    <w:abstractNumId w:val="0"/>
  </w:num>
  <w:num w:numId="6" w16cid:durableId="1867450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29639D"/>
    <w:rsid w:val="002C553E"/>
    <w:rsid w:val="00326F90"/>
    <w:rsid w:val="00754DD8"/>
    <w:rsid w:val="00937F04"/>
    <w:rsid w:val="00AA1D8D"/>
    <w:rsid w:val="00B47730"/>
    <w:rsid w:val="00CB0664"/>
    <w:rsid w:val="00FC693F"/>
    <w:rsid w:val="4FC27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7348B"/>
  <w14:defaultImageDpi w14:val="300"/>
  <w15:docId w15:val="{4CFFAD8B-C844-43FE-9F96-06427055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qFormat="1"/>
    <w:lsdException w:name="Medium Shading 1" w:uiPriority="63"/>
    <w:lsdException w:name="Medium Shading 2" w:uiPriority="64"/>
    <w:lsdException w:name="Medium List 1" w:uiPriority="65" w:qFormat="1"/>
    <w:lsdException w:name="Medium List 2" w:uiPriority="66"/>
    <w:lsdException w:name="Medium Grid 1" w:uiPriority="67"/>
    <w:lsdException w:name="Medium Grid 2" w:uiPriority="68" w:qFormat="1"/>
    <w:lsdException w:name="Medium Grid 3" w:uiPriority="69" w:qFormat="1"/>
    <w:lsdException w:name="Dark List" w:uiPriority="70"/>
    <w:lsdException w:name="Colorful Shading" w:uiPriority="71"/>
    <w:lsdException w:name="Colorful List" w:uiPriority="72" w:qFormat="1"/>
    <w:lsdException w:name="Colorful Grid" w:uiPriority="73" w:qFormat="1"/>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qFormat="1"/>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qFormat="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qFormat="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qFormat="1"/>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qFormat="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qFormat="1"/>
    <w:lsdException w:name="Colorful Shading Accent 6" w:uiPriority="7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2B2829C900F545A3B3809F25D88A5848</vt:lpwstr>
  </property>
</Properties>
</file>