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2AB6" w14:textId="77777777" w:rsidR="00C75C98" w:rsidRDefault="00000000">
      <w:pPr>
        <w:numPr>
          <w:ilvl w:val="0"/>
          <w:numId w:val="7"/>
        </w:numPr>
        <w:rPr>
          <w:lang w:eastAsia="zh-CN"/>
        </w:rPr>
      </w:pPr>
      <w:r>
        <w:rPr>
          <w:lang w:eastAsia="zh-CN"/>
        </w:rPr>
        <w:t>管理</w:t>
      </w:r>
      <w:proofErr w:type="gramStart"/>
      <w:r>
        <w:rPr>
          <w:lang w:eastAsia="zh-CN"/>
        </w:rPr>
        <w:t>层讨论</w:t>
      </w:r>
      <w:proofErr w:type="gramEnd"/>
      <w:r>
        <w:rPr>
          <w:lang w:eastAsia="zh-CN"/>
        </w:rPr>
        <w:t>与分析（一）报告期内公司经营情况的回顾本报告</w:t>
      </w:r>
      <w:proofErr w:type="gramStart"/>
      <w:r>
        <w:rPr>
          <w:lang w:eastAsia="zh-CN"/>
        </w:rPr>
        <w:t>期实现</w:t>
      </w:r>
      <w:proofErr w:type="gramEnd"/>
      <w:r>
        <w:rPr>
          <w:lang w:eastAsia="zh-CN"/>
        </w:rPr>
        <w:t>营业收入578,809万元，比上年同期645,03.14万元减少6,6235万元，降幅10.27%；实现营业利润-3.72万元，比上年同期-31,53.92万元，增加3150.20万元，增幅99.88%；实现利润总额199,98.64万元，比上年同期85,51.49万元增加11,447.15万元，增幅133.86%，主要为公司财务费用比上年同期减少39,780,975.79元，降幅45.5%。本报告</w:t>
      </w:r>
      <w:proofErr w:type="gramStart"/>
      <w:r>
        <w:rPr>
          <w:lang w:eastAsia="zh-CN"/>
        </w:rPr>
        <w:t>期实现</w:t>
      </w:r>
      <w:proofErr w:type="gramEnd"/>
      <w:r>
        <w:rPr>
          <w:lang w:eastAsia="zh-CN"/>
        </w:rPr>
        <w:t>归属于母公司的净利润20,200.77万元，比上年同期3,460.81万元增加16,739.96万元，增幅483.70%，主要为期间费用的下降及营业外收支的增加使归属于母公司的净利润增长。2008年度营业收入下降主要是由于2008年度公司的业务发展受到了雪灾、人民币升值和全球</w:t>
      </w:r>
      <w:r w:rsidRPr="00F60BC9">
        <w:rPr>
          <w:lang w:eastAsia="zh-CN"/>
        </w:rPr>
        <w:t>金融危机的影响，特别是金融危机爆发以来，公司国外客户对产品需求降幅较大。虽然公司受外部经营环境的影响仍然很大，公司生产经营的稳定性和盈利能力仍然面临严峻挑战，但面对困难，公司继续坚持在巩固主要产品市场占有率的基础上，积极拓展市场终端客户,持续加强对优秀终端客户的培育,提升大客户服务品质,关注新产品和新工艺的研发。公司2008年继续对产品结构和客户结构进行优化，加强产品的质量管理和终端客户关系管理，为公司未来长远发展打下坚实的基础。2008年，在国内血制品行业持续高景气度的经营背景下，公司控股子公司广东双林生物制药</w:t>
      </w:r>
      <w:r>
        <w:rPr>
          <w:lang w:eastAsia="zh-CN"/>
        </w:rPr>
        <w:t>有限公司管理层克服原料血浆供应紧张和自2008年7月1日起执行的90天血浆检疫期制度的影响，取得了良好经营业绩，实现净利润水平历史最好。（二）公司的主营业务及其经营状况公司主要从事</w:t>
      </w:r>
      <w:r>
        <w:rPr>
          <w:highlight w:val="red"/>
          <w:lang w:eastAsia="zh-CN"/>
        </w:rPr>
        <w:t>生物医药</w:t>
      </w:r>
      <w:r>
        <w:rPr>
          <w:lang w:eastAsia="zh-CN"/>
        </w:rPr>
        <w:t>、</w:t>
      </w:r>
      <w:r>
        <w:rPr>
          <w:highlight w:val="red"/>
          <w:lang w:eastAsia="zh-CN"/>
        </w:rPr>
        <w:t>电力</w:t>
      </w:r>
      <w:r w:rsidRPr="00F60BC9">
        <w:rPr>
          <w:lang w:eastAsia="zh-CN"/>
        </w:rPr>
        <w:t>的研究、开发、生产和销售。（三）财务状况变动分析本公司应收账款本年期初余额为160,195,551.10元，期末余额为39,997,491</w:t>
      </w:r>
      <w:r>
        <w:rPr>
          <w:lang w:eastAsia="zh-CN"/>
        </w:rPr>
        <w:t>.77元，减少120,198,059.33元。本公司其他应收款本年期初余额为100,412,687.83元，期末余额为25,464,273.31元，减少74,948,414.52元。本公司存货本年期初余额为243,952,776.50元，期末余额为183,757,804.59元，减少60,194,971.91元。本公司在建工程本年期初余额为3,163,698.53元，期末余额为4,406,157.51元，增加了664,551.77元，其中本期增加在建工程3,209,942.15元；转入固定资产减少1,079,346.27元，未形成资产的支出转入当期损益减少888,136.90元。（四）现金流量情况分析本公司本报告年度经营活动产生的现金流量净额为74,902，010.21元，投资活动产生的现金流量净额为-32,255,314.57元，筹资活动产生的现金流量净额为-57,530,632.65元,现金及现金等价物净增加额为-14,883,9371元。公司现金流量状况基本正常。（五）控股公司及参股公司经营情况及业绩（1）广东双林生物制药业有限公司：属于</w:t>
      </w:r>
      <w:r>
        <w:rPr>
          <w:highlight w:val="red"/>
          <w:lang w:eastAsia="zh-CN"/>
        </w:rPr>
        <w:t>生物药品</w:t>
      </w:r>
      <w:r>
        <w:rPr>
          <w:lang w:eastAsia="zh-CN"/>
        </w:rPr>
        <w:t>行业，注册资本39,600,000元，经营范围：血液收购、血液生物制品等。主要生产人血白蛋白和静脉注射用丙种球蛋白。截止2008年12月31日，总资产为185,910,638.41元，净资产96,459,417.6元，2008年实现净利润69,693,915.22元。（2）四川省长征药业股份有限公司：</w:t>
      </w:r>
      <w:r>
        <w:rPr>
          <w:highlight w:val="red"/>
          <w:lang w:eastAsia="zh-CN"/>
        </w:rPr>
        <w:t>医药</w:t>
      </w:r>
      <w:r>
        <w:rPr>
          <w:lang w:eastAsia="zh-CN"/>
        </w:rPr>
        <w:t>行业，注册资本128,220,000元，经营范围为</w:t>
      </w:r>
      <w:r>
        <w:rPr>
          <w:highlight w:val="red"/>
          <w:lang w:eastAsia="zh-CN"/>
        </w:rPr>
        <w:t>化学药品原药及制剂</w:t>
      </w:r>
      <w:r>
        <w:rPr>
          <w:lang w:eastAsia="zh-CN"/>
        </w:rPr>
        <w:t>、</w:t>
      </w:r>
      <w:r>
        <w:rPr>
          <w:highlight w:val="red"/>
          <w:lang w:eastAsia="zh-CN"/>
        </w:rPr>
        <w:t>动物药品</w:t>
      </w:r>
      <w:r>
        <w:rPr>
          <w:lang w:eastAsia="zh-CN"/>
        </w:rPr>
        <w:t>、</w:t>
      </w:r>
      <w:r>
        <w:rPr>
          <w:highlight w:val="red"/>
          <w:lang w:eastAsia="zh-CN"/>
        </w:rPr>
        <w:t>制药工业设备制造</w:t>
      </w:r>
      <w:r>
        <w:rPr>
          <w:lang w:eastAsia="zh-CN"/>
        </w:rPr>
        <w:t>、</w:t>
      </w:r>
      <w:r>
        <w:rPr>
          <w:highlight w:val="red"/>
          <w:lang w:eastAsia="zh-CN"/>
        </w:rPr>
        <w:t>销售</w:t>
      </w:r>
      <w:r>
        <w:rPr>
          <w:lang w:eastAsia="zh-CN"/>
        </w:rPr>
        <w:t>等。主要生产</w:t>
      </w:r>
      <w:r>
        <w:rPr>
          <w:highlight w:val="red"/>
          <w:lang w:eastAsia="zh-CN"/>
        </w:rPr>
        <w:t>原料药</w:t>
      </w:r>
      <w:r>
        <w:rPr>
          <w:lang w:eastAsia="zh-CN"/>
        </w:rPr>
        <w:t>和</w:t>
      </w:r>
      <w:r>
        <w:rPr>
          <w:highlight w:val="red"/>
          <w:lang w:eastAsia="zh-CN"/>
        </w:rPr>
        <w:t>制剂</w:t>
      </w:r>
      <w:r>
        <w:rPr>
          <w:lang w:eastAsia="zh-CN"/>
        </w:rPr>
        <w:t>，</w:t>
      </w:r>
      <w:r>
        <w:rPr>
          <w:highlight w:val="red"/>
          <w:lang w:eastAsia="zh-CN"/>
        </w:rPr>
        <w:t>小容量注射剂</w:t>
      </w:r>
      <w:r>
        <w:rPr>
          <w:lang w:eastAsia="zh-CN"/>
        </w:rPr>
        <w:t>、</w:t>
      </w:r>
      <w:r>
        <w:rPr>
          <w:highlight w:val="red"/>
          <w:lang w:eastAsia="zh-CN"/>
        </w:rPr>
        <w:t>片剂</w:t>
      </w:r>
      <w:r>
        <w:rPr>
          <w:lang w:eastAsia="zh-CN"/>
        </w:rPr>
        <w:t>、</w:t>
      </w:r>
      <w:r>
        <w:rPr>
          <w:highlight w:val="red"/>
          <w:lang w:eastAsia="zh-CN"/>
        </w:rPr>
        <w:t>胶囊剂</w:t>
      </w:r>
      <w:r>
        <w:rPr>
          <w:lang w:eastAsia="zh-CN"/>
        </w:rPr>
        <w:t>通过国家GMP认证，主要产品出口到美国和欧洲等地。2008年是长征药业困难的一年，长征药业是一家出口型企业，去年金融危机使得国外需求大幅下降以及人民币的升值双重压力，是导致长征药业亏损的主要原因。截止2008年12月31日，总资产为364,018,1389元，净资产42,728,8843元，2008年实现净利润-57,795,973.33元。（3）湖南唯康药业有限公司：医药行业，注册资本20,000,000元，经营范围为：</w:t>
      </w:r>
      <w:r>
        <w:rPr>
          <w:highlight w:val="red"/>
          <w:lang w:eastAsia="zh-CN"/>
        </w:rPr>
        <w:t>药膏</w:t>
      </w:r>
      <w:r>
        <w:rPr>
          <w:lang w:eastAsia="zh-CN"/>
        </w:rPr>
        <w:t>、</w:t>
      </w:r>
      <w:r>
        <w:rPr>
          <w:highlight w:val="red"/>
          <w:lang w:eastAsia="zh-CN"/>
        </w:rPr>
        <w:t>医用生物材料</w:t>
      </w:r>
      <w:r>
        <w:rPr>
          <w:lang w:eastAsia="zh-CN"/>
        </w:rPr>
        <w:t>、</w:t>
      </w:r>
      <w:r>
        <w:rPr>
          <w:highlight w:val="red"/>
          <w:lang w:eastAsia="zh-CN"/>
        </w:rPr>
        <w:t>医疗器械</w:t>
      </w:r>
      <w:r w:rsidRPr="00F60BC9">
        <w:rPr>
          <w:lang w:eastAsia="zh-CN"/>
        </w:rPr>
        <w:t>的开发、生产和销售。</w:t>
      </w:r>
      <w:r>
        <w:rPr>
          <w:lang w:eastAsia="zh-CN"/>
        </w:rPr>
        <w:lastRenderedPageBreak/>
        <w:t>主要产品有</w:t>
      </w:r>
      <w:r>
        <w:rPr>
          <w:highlight w:val="red"/>
          <w:lang w:eastAsia="zh-CN"/>
        </w:rPr>
        <w:t>麝香追风膏</w:t>
      </w:r>
      <w:r>
        <w:rPr>
          <w:lang w:eastAsia="zh-CN"/>
        </w:rPr>
        <w:t>、</w:t>
      </w:r>
      <w:r>
        <w:rPr>
          <w:highlight w:val="red"/>
          <w:lang w:eastAsia="zh-CN"/>
        </w:rPr>
        <w:t>田七镇痛膏</w:t>
      </w:r>
      <w:r>
        <w:rPr>
          <w:lang w:eastAsia="zh-CN"/>
        </w:rPr>
        <w:t>、</w:t>
      </w:r>
      <w:r>
        <w:rPr>
          <w:highlight w:val="red"/>
          <w:lang w:eastAsia="zh-CN"/>
        </w:rPr>
        <w:t>生物敷料</w:t>
      </w:r>
      <w:r>
        <w:rPr>
          <w:lang w:eastAsia="zh-CN"/>
        </w:rPr>
        <w:t>、</w:t>
      </w:r>
      <w:r>
        <w:rPr>
          <w:highlight w:val="red"/>
          <w:lang w:eastAsia="zh-CN"/>
        </w:rPr>
        <w:t>创可贴</w:t>
      </w:r>
      <w:r>
        <w:rPr>
          <w:lang w:eastAsia="zh-CN"/>
        </w:rPr>
        <w:t>等。截止2008年12月31日，总资产为71,624,462.47元，净资产14,245,054.72元，2008年实现净利润125,581.10元。（4）山西振兴集团电业有限公司：电力行业，注册资本为250,000,000元，主营业务为</w:t>
      </w:r>
      <w:r>
        <w:rPr>
          <w:highlight w:val="red"/>
          <w:lang w:eastAsia="zh-CN"/>
        </w:rPr>
        <w:t>火力发电</w:t>
      </w:r>
      <w:r>
        <w:rPr>
          <w:lang w:eastAsia="zh-CN"/>
        </w:rPr>
        <w:t>、经营该企业自产产品的</w:t>
      </w:r>
      <w:r>
        <w:rPr>
          <w:highlight w:val="red"/>
          <w:lang w:eastAsia="zh-CN"/>
        </w:rPr>
        <w:t>出口</w:t>
      </w:r>
      <w:r>
        <w:rPr>
          <w:lang w:eastAsia="zh-CN"/>
        </w:rPr>
        <w:t>业务和该企业所需的</w:t>
      </w:r>
      <w:r>
        <w:rPr>
          <w:highlight w:val="red"/>
          <w:lang w:eastAsia="zh-CN"/>
        </w:rPr>
        <w:t>机械设备</w:t>
      </w:r>
      <w:r>
        <w:rPr>
          <w:lang w:eastAsia="zh-CN"/>
        </w:rPr>
        <w:t>、</w:t>
      </w:r>
      <w:r>
        <w:rPr>
          <w:highlight w:val="red"/>
          <w:lang w:eastAsia="zh-CN"/>
        </w:rPr>
        <w:t>零配件</w:t>
      </w:r>
      <w:r>
        <w:rPr>
          <w:lang w:eastAsia="zh-CN"/>
        </w:rPr>
        <w:t>、</w:t>
      </w:r>
      <w:r>
        <w:rPr>
          <w:highlight w:val="red"/>
          <w:lang w:eastAsia="zh-CN"/>
        </w:rPr>
        <w:t>原辅材料</w:t>
      </w:r>
      <w:r>
        <w:rPr>
          <w:lang w:eastAsia="zh-CN"/>
        </w:rPr>
        <w:t>的进出口业务。截止2008年12月31日，总资产为582,250,749.22元，净资产459,403,001.18元，2008年实现净利润2,559,4463元。</w:t>
      </w:r>
    </w:p>
    <w:p w14:paraId="59E67284" w14:textId="77777777" w:rsidR="00C75C98" w:rsidRDefault="00C75C98">
      <w:pPr>
        <w:rPr>
          <w:lang w:eastAsia="zh-CN"/>
        </w:rPr>
      </w:pPr>
    </w:p>
    <w:p w14:paraId="78C40917" w14:textId="77777777" w:rsidR="00C75C98" w:rsidRDefault="00000000">
      <w:pPr>
        <w:rPr>
          <w:lang w:eastAsia="zh-CN"/>
        </w:rPr>
      </w:pPr>
      <w:r>
        <w:rPr>
          <w:rFonts w:hint="eastAsia"/>
          <w:lang w:eastAsia="zh-CN"/>
        </w:rPr>
        <w:t>标签共计:35</w:t>
      </w:r>
    </w:p>
    <w:sectPr w:rsidR="00C75C9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4C866" w14:textId="77777777" w:rsidR="00AF390E" w:rsidRDefault="00AF390E">
      <w:pPr>
        <w:spacing w:line="240" w:lineRule="auto"/>
      </w:pPr>
      <w:r>
        <w:separator/>
      </w:r>
    </w:p>
  </w:endnote>
  <w:endnote w:type="continuationSeparator" w:id="0">
    <w:p w14:paraId="09487ABA" w14:textId="77777777" w:rsidR="00AF390E" w:rsidRDefault="00AF3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53F75" w14:textId="77777777" w:rsidR="00AF390E" w:rsidRDefault="00AF390E">
      <w:pPr>
        <w:spacing w:after="0"/>
      </w:pPr>
      <w:r>
        <w:separator/>
      </w:r>
    </w:p>
  </w:footnote>
  <w:footnote w:type="continuationSeparator" w:id="0">
    <w:p w14:paraId="0D7802F5" w14:textId="77777777" w:rsidR="00AF390E" w:rsidRDefault="00AF390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4C8396"/>
    <w:multiLevelType w:val="singleLevel"/>
    <w:tmpl w:val="884C8396"/>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4956236">
    <w:abstractNumId w:val="2"/>
  </w:num>
  <w:num w:numId="2" w16cid:durableId="1061292076">
    <w:abstractNumId w:val="5"/>
  </w:num>
  <w:num w:numId="3" w16cid:durableId="1557546747">
    <w:abstractNumId w:val="6"/>
  </w:num>
  <w:num w:numId="4" w16cid:durableId="467551474">
    <w:abstractNumId w:val="3"/>
  </w:num>
  <w:num w:numId="5" w16cid:durableId="1963070801">
    <w:abstractNumId w:val="1"/>
  </w:num>
  <w:num w:numId="6" w16cid:durableId="385181334">
    <w:abstractNumId w:val="4"/>
  </w:num>
  <w:num w:numId="7" w16cid:durableId="212410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AA1D8D"/>
    <w:rsid w:val="00AF390E"/>
    <w:rsid w:val="00B47730"/>
    <w:rsid w:val="00C75C98"/>
    <w:rsid w:val="00CB0664"/>
    <w:rsid w:val="00F60BC9"/>
    <w:rsid w:val="00FC693F"/>
    <w:rsid w:val="11F41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9293A"/>
  <w14:defaultImageDpi w14:val="300"/>
  <w15:docId w15:val="{90159802-F2FB-4F70-9D7C-ADF76140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lsdException w:name="Medium Grid 1" w:uiPriority="67" w:qFormat="1"/>
    <w:lsdException w:name="Medium Grid 2" w:uiPriority="68" w:qFormat="1"/>
    <w:lsdException w:name="Medium Grid 3" w:uiPriority="69" w:qFormat="1"/>
    <w:lsdException w:name="Dark List" w:uiPriority="70"/>
    <w:lsdException w:name="Colorful Shading" w:uiPriority="71" w:qFormat="1"/>
    <w:lsdException w:name="Colorful List" w:uiPriority="72"/>
    <w:lsdException w:name="Colorful Grid" w:uiPriority="73" w:qFormat="1"/>
    <w:lsdException w:name="Light Shading Accent 1" w:uiPriority="60"/>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qFormat="1"/>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lsdException w:name="Colorful Shading Accent 4" w:uiPriority="71" w:qFormat="1"/>
    <w:lsdException w:name="Colorful List Accent 4" w:uiPriority="72" w:qFormat="1"/>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qFormat="1"/>
    <w:lsdException w:name="Medium List 2 Accent 5" w:uiPriority="66" w:qFormat="1"/>
    <w:lsdException w:name="Medium Grid 1 Accent 5" w:uiPriority="67"/>
    <w:lsdException w:name="Medium Grid 2 Accent 5" w:uiPriority="68" w:qFormat="1"/>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qFormat="1"/>
    <w:lsdException w:name="Medium Grid 1 Accent 6" w:uiPriority="67"/>
    <w:lsdException w:name="Medium Grid 2 Accent 6" w:uiPriority="68" w:qFormat="1"/>
    <w:lsdException w:name="Medium Grid 3 Accent 6" w:uiPriority="69"/>
    <w:lsdException w:name="Dark List Accent 6" w:uiPriority="70" w:qFormat="1"/>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D035CBE7D9644CC7824741DE847D35BA</vt:lpwstr>
  </property>
</Properties>
</file>