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FB9F" w14:textId="77777777" w:rsidR="00035624" w:rsidRDefault="00000000">
      <w:pPr>
        <w:rPr>
          <w:lang w:eastAsia="zh-CN"/>
        </w:rPr>
      </w:pPr>
      <w:r>
        <w:rPr>
          <w:lang w:eastAsia="zh-CN"/>
        </w:rPr>
        <w:t>第四节经营情况讨论与分析一、概述报告期，国际经济形势复杂多变，国际贸易环境震荡变化，国内宏观经济增速放缓，公司所在的氯碱行业，受中美贸易战、外部宏观环境及上下游行业冲击等多重因素影响，呈现出烧碱市场价格大幅下滑、“以碱补氯”阶段性弱化等特点，盈利能力大幅减弱。同时，整个</w:t>
      </w:r>
      <w:r>
        <w:rPr>
          <w:highlight w:val="red"/>
          <w:lang w:eastAsia="zh-CN"/>
        </w:rPr>
        <w:t>氯</w:t>
      </w:r>
      <w:proofErr w:type="gramStart"/>
      <w:r>
        <w:rPr>
          <w:highlight w:val="red"/>
          <w:lang w:eastAsia="zh-CN"/>
        </w:rPr>
        <w:t>碱</w:t>
      </w:r>
      <w:r>
        <w:rPr>
          <w:lang w:eastAsia="zh-CN"/>
        </w:rPr>
        <w:t>行业</w:t>
      </w:r>
      <w:proofErr w:type="gramEnd"/>
      <w:r>
        <w:rPr>
          <w:lang w:eastAsia="zh-CN"/>
        </w:rPr>
        <w:t>面临着产品结构性过剩、资源能源约束日益加强、安全环保要求不断提高等问题。面对内外交困的严峻形势，公司按照“深化改革上台阶、研发创新谋升级、就地改造</w:t>
      </w:r>
      <w:proofErr w:type="gramStart"/>
      <w:r>
        <w:rPr>
          <w:lang w:eastAsia="zh-CN"/>
        </w:rPr>
        <w:t>夯</w:t>
      </w:r>
      <w:proofErr w:type="gramEnd"/>
      <w:r>
        <w:rPr>
          <w:lang w:eastAsia="zh-CN"/>
        </w:rPr>
        <w:t>主业、激发活力创佳绩”的年度工作方针，对</w:t>
      </w:r>
      <w:proofErr w:type="gramStart"/>
      <w:r>
        <w:rPr>
          <w:lang w:eastAsia="zh-CN"/>
        </w:rPr>
        <w:t>标行业</w:t>
      </w:r>
      <w:proofErr w:type="gramEnd"/>
      <w:r>
        <w:rPr>
          <w:lang w:eastAsia="zh-CN"/>
        </w:rPr>
        <w:t>标杆，坚持目标管理为总领，效益、结果为导向，通过“强管理、调结构、抓质量、抓市场”等工作措施，克服了宏观经济、行业政策、市场环境、暴雨灾害、道路阻断等多方面的影响，公司保持了安全稳定运营态势。（一）管理方面：公司持续深化管理改革，推动运营管</w:t>
      </w:r>
      <w:proofErr w:type="gramStart"/>
      <w:r>
        <w:rPr>
          <w:lang w:eastAsia="zh-CN"/>
        </w:rPr>
        <w:t>控模式</w:t>
      </w:r>
      <w:proofErr w:type="gramEnd"/>
      <w:r>
        <w:rPr>
          <w:lang w:eastAsia="zh-CN"/>
        </w:rPr>
        <w:t>落地，建立精简高效、责任明确的运行机制，推行重大工作督导机制，落实专人督导，跟踪问效；优化经济运营分析，通过建立数据分析模型，为公司生产组织、运营管理提供决策依据。（二）生产经营方面：一是将责任目标层层分解落实并配以激励机制，调动员工工作积极</w:t>
      </w:r>
      <w:r w:rsidRPr="002F06D8">
        <w:rPr>
          <w:lang w:eastAsia="zh-CN"/>
        </w:rPr>
        <w:t>性，通过技术改造、创新，</w:t>
      </w:r>
      <w:r>
        <w:rPr>
          <w:lang w:eastAsia="zh-CN"/>
        </w:rPr>
        <w:t>保持低能耗高效率的持续生产能力；二是结合市场需求及时调整产品结构，恢复</w:t>
      </w:r>
      <w:r>
        <w:rPr>
          <w:highlight w:val="red"/>
          <w:lang w:eastAsia="zh-CN"/>
        </w:rPr>
        <w:t>钾碱</w:t>
      </w:r>
      <w:r>
        <w:rPr>
          <w:lang w:eastAsia="zh-CN"/>
        </w:rPr>
        <w:t>生产，加大</w:t>
      </w:r>
      <w:r>
        <w:rPr>
          <w:highlight w:val="red"/>
          <w:lang w:eastAsia="zh-CN"/>
        </w:rPr>
        <w:t>特种树脂</w:t>
      </w:r>
      <w:r>
        <w:rPr>
          <w:lang w:eastAsia="zh-CN"/>
        </w:rPr>
        <w:t>开拓力度，直接为公司增利；三是积极跟踪市场，通过对销售区域合理布局，深入市场，定位客户，充分利用时机，合理调整产品销价，增厚销售利润；四是通过公开招投标，强化大宗原材料集中采购，降低采购成本，以成本管理和全面预算为重点，控制成本费用。（三）安全环保方面：报告期，公司子公司均实现安全生产“六个零”的目标。一是公司将安全生产责任分解“横向到边、纵向到底”，并将考核落到实处，加强全员安全责任意识；二是通过加强安全预防过程管控，落实隐患排查治理，强化应急处置能力，有效提升公司整体安全管理水平；环保方面，公司坚持低碳、循环、绿色经济发展理念，持续加大环保投入力度，公司主</w:t>
      </w:r>
      <w:r w:rsidRPr="002F06D8">
        <w:rPr>
          <w:lang w:eastAsia="zh-CN"/>
        </w:rPr>
        <w:t>体企业树脂公司和岷江电化公司的</w:t>
      </w:r>
      <w:r>
        <w:rPr>
          <w:lang w:eastAsia="zh-CN"/>
        </w:rPr>
        <w:t>环保改善项目按实施方案逐步落实。通过全员共同努力，报告期，公司实现营业收入231,906.53万元，实现归属于上市公司股东的净利润6,201.33万元，实现</w:t>
      </w:r>
      <w:r>
        <w:rPr>
          <w:highlight w:val="red"/>
          <w:lang w:eastAsia="zh-CN"/>
        </w:rPr>
        <w:t>PVC树脂</w:t>
      </w:r>
      <w:r>
        <w:rPr>
          <w:lang w:eastAsia="zh-CN"/>
        </w:rPr>
        <w:t>产量22.46万吨，</w:t>
      </w:r>
      <w:r>
        <w:rPr>
          <w:highlight w:val="red"/>
          <w:lang w:eastAsia="zh-CN"/>
        </w:rPr>
        <w:t>钠碱</w:t>
      </w:r>
      <w:r>
        <w:rPr>
          <w:lang w:eastAsia="zh-CN"/>
        </w:rPr>
        <w:t>13.78万吨，</w:t>
      </w:r>
      <w:r>
        <w:rPr>
          <w:highlight w:val="red"/>
          <w:lang w:eastAsia="zh-CN"/>
        </w:rPr>
        <w:t>钾碱</w:t>
      </w:r>
      <w:r>
        <w:rPr>
          <w:lang w:eastAsia="zh-CN"/>
        </w:rPr>
        <w:t>1.37万吨，</w:t>
      </w:r>
      <w:r>
        <w:rPr>
          <w:highlight w:val="red"/>
          <w:lang w:eastAsia="zh-CN"/>
        </w:rPr>
        <w:t>电石</w:t>
      </w:r>
      <w:r>
        <w:rPr>
          <w:lang w:eastAsia="zh-CN"/>
        </w:rPr>
        <w:t>21.76万吨；其中，营业收入同比增长12.07%，</w:t>
      </w:r>
      <w:r>
        <w:rPr>
          <w:highlight w:val="red"/>
          <w:lang w:eastAsia="zh-CN"/>
        </w:rPr>
        <w:t>PVC树脂</w:t>
      </w:r>
      <w:r>
        <w:rPr>
          <w:lang w:eastAsia="zh-CN"/>
        </w:rPr>
        <w:t>产量同比增长6.55%，双双创近年来历史新高。二、主营业务分析1、概述是否与经营情况讨论与分析中的概述披露相同√是□否2、收入与成本（1）营业收入构成单位：元2019年2018年同比增减金额占营业收入比重金额占营业收入比重营业收入合计2,319,065,343.95100%2,069,391,203.78100%12.07%分行业化工2,307,716,690.8399.51%2,057,672,860.8499.43%0.08%物流运输7,834,502.200.34%11,718,342.940.57%-0.23%金融类业务3,514,150.920.15%0.15%分产品树脂产品1,336,902,630.0657.65%1,240,675,894.2259.95%-2.30%碱产品443,388,130.4219.12%503,590,858.4824.34%-5.22%其他产品538,774,583.4723.23%325,124,451.0815.71%7.52%分地区西南地区2,200,915,790.9994.91%1,820,573,500.0187.98%6.93%东南地区85,324,801.803.68%176,715,330.958.54%-4.86%其他地区32,824,751.161.42%72,102,372.823.48%-2.06%（2）占公司营业收入或营业利润10%以上的行业、产品或地区情况√适用□不适用单位：元营业收入营业成本毛利率营业收入比上年同期增减营业成本比上年同期增减毛利率比上年同期增减分行业化工</w:t>
      </w:r>
      <w:r>
        <w:rPr>
          <w:lang w:eastAsia="zh-CN"/>
        </w:rPr>
        <w:lastRenderedPageBreak/>
        <w:t>2,307,716,690.832,001,642,415.3813.26%12.15%16.39%-3.71%物流运输7,834,502.207,383,838.705.75%-33.14%-35.04%2.75%金融类业务3,514,150.92100.00%-100.00%分产品树脂产品1,336,902,630.061,386,465,579.01-3.71%7.76%6.32%1.40%碱产品443,388,130.42178,197,907.0159.81%-11.95%16.21%-9.74%其他538,774,583.47444,362,768.0617.52%65.71%69.32%-1.76%分地区西南地区2,200,915,790.991,884,249,606.4514.39%20.89%28.39%-5.00%东南地区85,324,801.8087,450,094.35-2.49%-51.72%-50.52%-2.48%其他地区32,824,751.1637,326,553.28-13.72%-54.47%-50.58%-8.96%公司主营业务数据统计口径在报告期发生调整的情况下，公司最近1年按报告期末口径调整后的主营业务数据□适用√不适用（3）公</w:t>
      </w:r>
      <w:r w:rsidRPr="002F06D8">
        <w:rPr>
          <w:lang w:eastAsia="zh-CN"/>
        </w:rPr>
        <w:t>司实物销售收入是否大于劳务收入√是□</w:t>
      </w:r>
      <w:proofErr w:type="gramStart"/>
      <w:r w:rsidRPr="002F06D8">
        <w:rPr>
          <w:lang w:eastAsia="zh-CN"/>
        </w:rPr>
        <w:t>否行业</w:t>
      </w:r>
      <w:proofErr w:type="gramEnd"/>
      <w:r w:rsidRPr="002F06D8">
        <w:rPr>
          <w:lang w:eastAsia="zh-CN"/>
        </w:rPr>
        <w:t>分类项目单位2019年2018年同比增减树脂产品销售量万吨22.5221.246.03%生产量万吨22.4621.086.55%库存量万吨0.100.16-37.50%碱产品销售量万吨15.1015.24-0.92%生产量万吨15.1514.852.02%库存量万吨0.150.1050.00%相关数据同比发生变动30%以上的原因说明√适用□不适用树脂产品库存量期末较年初减少主要系本年销售量大于生产量所致。碱产品库存量期末较年初增加主要系本年生产量大于销售量所致。（4）公司已签订的重大销售合同截至本报告期的履行情况□适用√不适用（5）营业成本构成产品分类单位：</w:t>
      </w:r>
      <w:proofErr w:type="gramStart"/>
      <w:r w:rsidRPr="002F06D8">
        <w:rPr>
          <w:lang w:eastAsia="zh-CN"/>
        </w:rPr>
        <w:t>元产品</w:t>
      </w:r>
      <w:proofErr w:type="gramEnd"/>
      <w:r w:rsidRPr="002F06D8">
        <w:rPr>
          <w:lang w:eastAsia="zh-CN"/>
        </w:rPr>
        <w:t>分类项目2019年2018年同比增减金额占营业成本比重金额占营业成本比重树脂产品主营业务成本1,386,465,579.0169.01%1,304,036,729.8375.82%-6.81%碱产品主营业务成本178,197,907.018.87%153,346,897.488.92%-0.05%其他产品主营业务成本444,362,768.0622.12%262,444,552.3415.26%6.86%说明项目2019年2018年直接材料62.81%61.99%人工6.94%7.11%折旧4.79%5.97%能源25.46%24.93%合计100</w:t>
      </w:r>
      <w:r>
        <w:rPr>
          <w:lang w:eastAsia="zh-CN"/>
        </w:rPr>
        <w:t>.00%100.00%（6）报告期内合并范围是否发生变动√是□</w:t>
      </w:r>
      <w:proofErr w:type="gramStart"/>
      <w:r>
        <w:rPr>
          <w:lang w:eastAsia="zh-CN"/>
        </w:rPr>
        <w:t>否报告</w:t>
      </w:r>
      <w:proofErr w:type="gramEnd"/>
      <w:r>
        <w:rPr>
          <w:lang w:eastAsia="zh-CN"/>
        </w:rPr>
        <w:t>期，公司与上海御兰投资管理有限公司共同出资设立了金路资产管理有限公司和成都金泓股权投资有限公司，上述2家子公司纳入公司合并报表范围。本年度，四川金路物流有限责任公司下属子公司罗</w:t>
      </w:r>
      <w:proofErr w:type="gramStart"/>
      <w:r>
        <w:rPr>
          <w:lang w:eastAsia="zh-CN"/>
        </w:rPr>
        <w:t>江海诚运业</w:t>
      </w:r>
      <w:proofErr w:type="gramEnd"/>
      <w:r>
        <w:rPr>
          <w:lang w:eastAsia="zh-CN"/>
        </w:rPr>
        <w:t>有限责任公司已注销，不再纳入合并报表范围。（7）公司报告期内业务、产品或服务发生重大变化或调整有关情况□适用√不适用（8）主要销售客户和主要供应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380,748,449.32前五名客户合计销售金额占年度销售总额比例16.42%前五名客户销售额中关联方销售额占年度销售总额比例0.00%公司前5大客户资料序号客户名称销售额（元）占年度销售总额比例1客户一</w:t>
      </w:r>
      <w:proofErr w:type="gramStart"/>
      <w:r>
        <w:rPr>
          <w:lang w:eastAsia="zh-CN"/>
        </w:rPr>
        <w:t>92</w:t>
      </w:r>
      <w:proofErr w:type="gramEnd"/>
      <w:r>
        <w:rPr>
          <w:lang w:eastAsia="zh-CN"/>
        </w:rPr>
        <w:t>,986,836.454.01%2客户二</w:t>
      </w:r>
      <w:proofErr w:type="gramStart"/>
      <w:r>
        <w:rPr>
          <w:lang w:eastAsia="zh-CN"/>
        </w:rPr>
        <w:t>91</w:t>
      </w:r>
      <w:proofErr w:type="gramEnd"/>
      <w:r>
        <w:rPr>
          <w:lang w:eastAsia="zh-CN"/>
        </w:rPr>
        <w:t>,994,745.043.97%3客户三</w:t>
      </w:r>
      <w:proofErr w:type="gramStart"/>
      <w:r>
        <w:rPr>
          <w:lang w:eastAsia="zh-CN"/>
        </w:rPr>
        <w:t>72</w:t>
      </w:r>
      <w:proofErr w:type="gramEnd"/>
      <w:r>
        <w:rPr>
          <w:lang w:eastAsia="zh-CN"/>
        </w:rPr>
        <w:t>,809,442.343.14%4客户四</w:t>
      </w:r>
      <w:proofErr w:type="gramStart"/>
      <w:r>
        <w:rPr>
          <w:lang w:eastAsia="zh-CN"/>
        </w:rPr>
        <w:t>66</w:t>
      </w:r>
      <w:proofErr w:type="gramEnd"/>
      <w:r>
        <w:rPr>
          <w:lang w:eastAsia="zh-CN"/>
        </w:rPr>
        <w:t>,000,952.032.85%5客户五</w:t>
      </w:r>
      <w:proofErr w:type="gramStart"/>
      <w:r>
        <w:rPr>
          <w:lang w:eastAsia="zh-CN"/>
        </w:rPr>
        <w:t>56</w:t>
      </w:r>
      <w:proofErr w:type="gramEnd"/>
      <w:r>
        <w:rPr>
          <w:lang w:eastAsia="zh-CN"/>
        </w:rPr>
        <w:t>,956,473.462.46%合计--380,748,449.3216.42%主要客户其他情况说明前五名供应商合计采购金额（元）854,224,297.87前五名供应商合计采购金额占年度采购总额比例48.17%前五名供应商采购额中关联方采购额占年度采购总额比例0.00%□适用√不适用公司主要供应</w:t>
      </w:r>
      <w:proofErr w:type="gramStart"/>
      <w:r>
        <w:rPr>
          <w:lang w:eastAsia="zh-CN"/>
        </w:rPr>
        <w:t>商情况</w:t>
      </w:r>
      <w:proofErr w:type="gramEnd"/>
      <w:r>
        <w:rPr>
          <w:lang w:eastAsia="zh-CN"/>
        </w:rPr>
        <w:t>公司前5名供应商资料序号供应商名称采购额（元）占年度采购总额比例1客户一</w:t>
      </w:r>
      <w:proofErr w:type="gramStart"/>
      <w:r>
        <w:rPr>
          <w:lang w:eastAsia="zh-CN"/>
        </w:rPr>
        <w:t>268</w:t>
      </w:r>
      <w:proofErr w:type="gramEnd"/>
      <w:r>
        <w:rPr>
          <w:lang w:eastAsia="zh-CN"/>
        </w:rPr>
        <w:t>,384,015.2715.13%2客户二</w:t>
      </w:r>
      <w:proofErr w:type="gramStart"/>
      <w:r>
        <w:rPr>
          <w:lang w:eastAsia="zh-CN"/>
        </w:rPr>
        <w:t>236</w:t>
      </w:r>
      <w:proofErr w:type="gramEnd"/>
      <w:r>
        <w:rPr>
          <w:lang w:eastAsia="zh-CN"/>
        </w:rPr>
        <w:t>,258,425.3513.32%3客户三</w:t>
      </w:r>
      <w:proofErr w:type="gramStart"/>
      <w:r>
        <w:rPr>
          <w:lang w:eastAsia="zh-CN"/>
        </w:rPr>
        <w:t>197</w:t>
      </w:r>
      <w:proofErr w:type="gramEnd"/>
      <w:r>
        <w:rPr>
          <w:lang w:eastAsia="zh-CN"/>
        </w:rPr>
        <w:t>,874,698.3911.16%4客户四</w:t>
      </w:r>
      <w:proofErr w:type="gramStart"/>
      <w:r>
        <w:rPr>
          <w:lang w:eastAsia="zh-CN"/>
        </w:rPr>
        <w:t>87</w:t>
      </w:r>
      <w:proofErr w:type="gramEnd"/>
      <w:r>
        <w:rPr>
          <w:lang w:eastAsia="zh-CN"/>
        </w:rPr>
        <w:t>,215,594.614.92%5客户五</w:t>
      </w:r>
      <w:proofErr w:type="gramStart"/>
      <w:r>
        <w:rPr>
          <w:lang w:eastAsia="zh-CN"/>
        </w:rPr>
        <w:t>64</w:t>
      </w:r>
      <w:proofErr w:type="gramEnd"/>
      <w:r>
        <w:rPr>
          <w:lang w:eastAsia="zh-CN"/>
        </w:rPr>
        <w:t>,491,564.253.64%合计--854,224,297.8748.17%主要供应</w:t>
      </w:r>
      <w:proofErr w:type="gramStart"/>
      <w:r>
        <w:rPr>
          <w:lang w:eastAsia="zh-CN"/>
        </w:rPr>
        <w:t>商其他</w:t>
      </w:r>
      <w:proofErr w:type="gramEnd"/>
      <w:r>
        <w:rPr>
          <w:lang w:eastAsia="zh-CN"/>
        </w:rPr>
        <w:t>情况说明□适用√不适用3、费用单位：元2019年2018年同比增减重大变动说明销售费用34,241,419.7332,449,541.525.52%管理费用180,927,354.71169,400,833.496.80%财务费</w:t>
      </w:r>
      <w:r>
        <w:rPr>
          <w:lang w:eastAsia="zh-CN"/>
        </w:rPr>
        <w:lastRenderedPageBreak/>
        <w:t>用13,957,034.4118,270,072.95-23.61%研发费用4,758,875.28243,649.481,853.16%主要是由于报告期公司加大了对特种树脂及新材料产品的研发投入所致。4、研发投入√适用□不适用为增强公司市场竞争力，寻求更多高附加值产品，报告期，公司结合自身实际情况，深化创新，进行了相关研发工作，具体如下：1.</w:t>
      </w:r>
      <w:r w:rsidRPr="002F06D8">
        <w:rPr>
          <w:highlight w:val="red"/>
          <w:lang w:eastAsia="zh-CN"/>
        </w:rPr>
        <w:t>大功率充电线缆PVC专用</w:t>
      </w:r>
      <w:r>
        <w:rPr>
          <w:highlight w:val="red"/>
          <w:lang w:eastAsia="zh-CN"/>
        </w:rPr>
        <w:t>树脂</w:t>
      </w:r>
      <w:r>
        <w:rPr>
          <w:lang w:eastAsia="zh-CN"/>
        </w:rPr>
        <w:t>合成主要运用于</w:t>
      </w:r>
      <w:r w:rsidRPr="002F06D8">
        <w:rPr>
          <w:highlight w:val="red"/>
          <w:lang w:eastAsia="zh-CN"/>
        </w:rPr>
        <w:t>充电线缆</w:t>
      </w:r>
      <w:r>
        <w:rPr>
          <w:lang w:eastAsia="zh-CN"/>
        </w:rPr>
        <w:t>，完成了产品10立方</w:t>
      </w:r>
      <w:proofErr w:type="gramStart"/>
      <w:r>
        <w:rPr>
          <w:lang w:eastAsia="zh-CN"/>
        </w:rPr>
        <w:t>釜</w:t>
      </w:r>
      <w:proofErr w:type="gramEnd"/>
      <w:r>
        <w:rPr>
          <w:lang w:eastAsia="zh-CN"/>
        </w:rPr>
        <w:t>小试，7立方釜中试以及30立方</w:t>
      </w:r>
      <w:proofErr w:type="gramStart"/>
      <w:r>
        <w:rPr>
          <w:lang w:eastAsia="zh-CN"/>
        </w:rPr>
        <w:t>釜</w:t>
      </w:r>
      <w:proofErr w:type="gramEnd"/>
      <w:r>
        <w:rPr>
          <w:lang w:eastAsia="zh-CN"/>
        </w:rPr>
        <w:t>工业生产，目前已经形成产品对外销售。2.</w:t>
      </w:r>
      <w:r>
        <w:rPr>
          <w:highlight w:val="red"/>
          <w:lang w:eastAsia="zh-CN"/>
        </w:rPr>
        <w:t>氯乙烯</w:t>
      </w:r>
      <w:r w:rsidRPr="002F06D8">
        <w:rPr>
          <w:lang w:eastAsia="zh-CN"/>
        </w:rPr>
        <w:t>-</w:t>
      </w:r>
      <w:r>
        <w:rPr>
          <w:highlight w:val="red"/>
          <w:lang w:eastAsia="zh-CN"/>
        </w:rPr>
        <w:t>丙烯酸酯共聚乳液</w:t>
      </w:r>
      <w:r>
        <w:rPr>
          <w:lang w:eastAsia="zh-CN"/>
        </w:rPr>
        <w:t>研发完成前期小试试验工作，形成比较系统的配方工艺体系，通过与</w:t>
      </w:r>
      <w:r>
        <w:rPr>
          <w:highlight w:val="red"/>
          <w:lang w:eastAsia="zh-CN"/>
        </w:rPr>
        <w:t>乳液应用</w:t>
      </w:r>
      <w:r>
        <w:rPr>
          <w:lang w:eastAsia="zh-CN"/>
        </w:rPr>
        <w:t>厂商合作对接，确定了“经济型工业水性涂料用</w:t>
      </w:r>
      <w:r>
        <w:rPr>
          <w:highlight w:val="red"/>
          <w:lang w:eastAsia="zh-CN"/>
        </w:rPr>
        <w:t>氯丙共聚乳液</w:t>
      </w:r>
      <w:r>
        <w:rPr>
          <w:lang w:eastAsia="zh-CN"/>
        </w:rPr>
        <w:t>”、“玻璃纤维网格布定型胶用</w:t>
      </w:r>
      <w:r>
        <w:rPr>
          <w:highlight w:val="red"/>
          <w:lang w:eastAsia="zh-CN"/>
        </w:rPr>
        <w:t>氯丙共聚乳液</w:t>
      </w:r>
      <w:r>
        <w:rPr>
          <w:lang w:eastAsia="zh-CN"/>
        </w:rPr>
        <w:t>”等几个应用方向并开始送样推广。3.</w:t>
      </w:r>
      <w:r>
        <w:rPr>
          <w:highlight w:val="red"/>
          <w:lang w:eastAsia="zh-CN"/>
        </w:rPr>
        <w:t>氯丙共聚树脂</w:t>
      </w:r>
      <w:r>
        <w:rPr>
          <w:lang w:eastAsia="zh-CN"/>
        </w:rPr>
        <w:t>工业化生产在超低树脂的基础上进行</w:t>
      </w:r>
      <w:r>
        <w:rPr>
          <w:highlight w:val="red"/>
          <w:lang w:eastAsia="zh-CN"/>
        </w:rPr>
        <w:t>氯丙共聚改性</w:t>
      </w:r>
      <w:r>
        <w:rPr>
          <w:lang w:eastAsia="zh-CN"/>
        </w:rPr>
        <w:t>以满足客户塑化速度快、透明度高、着色性佳等要求，目前已对外销售。公司研发投入情况2019年2018年变动比例研发人员数量（人）66660.00%研发人员数量占比2.70%2.60%0.10%研发投入金额（元）70,780,000.0065,770,000.007.62%研发投入占营业收入比例3.05%3.18%-0.13%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2019年2018年同比增减经营活动现金流入小计2,638,913,367.702,583,096,797.522.16%经营活动现金流出小计2,570,331,496.922,374,576,014.738.24%经营活动产生的现金流量净额68,581,870.78208,520,782.79-67.11%投资活动现金流入小计75,767,204.845,349,512.331,316.34%投资活动现金流出小计263,784,503.33130,046,838.44102.84%投资活动产生的现金流量净额-188,017,298.49-124,697,326.11-筹资活动现金流入小计281,901,000.00130,963,844.03115.25%项目2019年2018年同比增减筹资活动现金流出小计124,076,933.32291,401,786.42-57.42%筹资活动产生的现金流量净额157,824,066.68-160,437,942.39-现金及现金等价物净增加额38,388,638.97-76,614,485.71-相关数据同比发生重大变动的主要影响因素说明√适用□不适用1.经营活动产生的现金流量净额比上年同期下降67.11%，主要是由于公司报告期支付了到期的应付票据以及办理融资租赁售后回租业务增加现金流出所致。2.投资活动产生的现金流量净额比上年同期多流出63,319,972.38元，主要是由于报告期公司子公司树脂公司实施就地改造、岷江电化实施边坡治理工程支付的工程款项增加以及支付的股权及债权投资款项增加所致。3.筹资活动产生的现金流量净额较上年同期多流入318,262,009.07元，主要是由于报告期公司收到的银行借款较上年同期增加、归还到期的银行借款减少以及上年同期分配股利款所致。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占利润总额比例形成原因说明是否具有可持续性投资收益-5,436,703.65-8.17%主要是公司联营企业本年度亏损所致</w:t>
      </w:r>
      <w:proofErr w:type="gramStart"/>
      <w:r>
        <w:rPr>
          <w:lang w:eastAsia="zh-CN"/>
        </w:rPr>
        <w:t>否</w:t>
      </w:r>
      <w:proofErr w:type="gramEnd"/>
      <w:r>
        <w:rPr>
          <w:lang w:eastAsia="zh-CN"/>
        </w:rPr>
        <w:t>资产减值-391,904.12-0.59%主要是公司计提的存货跌价准备</w:t>
      </w:r>
      <w:proofErr w:type="gramStart"/>
      <w:r>
        <w:rPr>
          <w:lang w:eastAsia="zh-CN"/>
        </w:rPr>
        <w:t>否</w:t>
      </w:r>
      <w:proofErr w:type="gramEnd"/>
      <w:r>
        <w:rPr>
          <w:lang w:eastAsia="zh-CN"/>
        </w:rPr>
        <w:t>营业外收入1,621,901.402.44%主要是公司罚款收入及保险赔偿收入</w:t>
      </w:r>
      <w:proofErr w:type="gramStart"/>
      <w:r>
        <w:rPr>
          <w:lang w:eastAsia="zh-CN"/>
        </w:rPr>
        <w:t>否</w:t>
      </w:r>
      <w:proofErr w:type="gramEnd"/>
      <w:r>
        <w:rPr>
          <w:lang w:eastAsia="zh-CN"/>
        </w:rPr>
        <w:t>营业外支出5,583,914.728.39%主要是公司固定资产报废损失及捐赠支出否四、资产及负债状况1、资产构成重大变动情况公司2019年起首次执行新金融工具准则、新收入准则或新租赁准则且调整执行当年年初财务报表相关项目√适用□不适用单位：元2019年末</w:t>
      </w:r>
      <w:r>
        <w:rPr>
          <w:lang w:eastAsia="zh-CN"/>
        </w:rPr>
        <w:lastRenderedPageBreak/>
        <w:t>2019年初比重增重大变动说明金额占总资产比例金额占总资产比例</w:t>
      </w:r>
      <w:proofErr w:type="gramStart"/>
      <w:r>
        <w:rPr>
          <w:lang w:eastAsia="zh-CN"/>
        </w:rPr>
        <w:t>减货币</w:t>
      </w:r>
      <w:proofErr w:type="gramEnd"/>
      <w:r>
        <w:rPr>
          <w:lang w:eastAsia="zh-CN"/>
        </w:rPr>
        <w:t>资金106,384,555.536.61%124,064,396.498.36%-1.75%应收账款4,893,085.040.30%6,433,194.210.43%-0.13%存货108,531,308.056.74%102,534,545.266.91%-0.17%长期股权投资115,442,216.207.17%19,152,594.121.29%5.88%主要是由于报告期公司新增对新疆融创诚新能源有限公司及</w:t>
      </w:r>
      <w:proofErr w:type="gramStart"/>
      <w:r>
        <w:rPr>
          <w:lang w:eastAsia="zh-CN"/>
        </w:rPr>
        <w:t>河南信恒企业管理</w:t>
      </w:r>
      <w:proofErr w:type="gramEnd"/>
      <w:r>
        <w:rPr>
          <w:lang w:eastAsia="zh-CN"/>
        </w:rPr>
        <w:t>合伙企业投资所致。固定资产805,511,552.8150.02%857,145,725.1457.74%-7.72%在建工程59,075,986.813.67%32,082,501.592.16%1.51%主要是由于报告期公司子公司树脂公司实施就地改造及岷江电化实施边坡综合治理工程项目所致。短期借款219,700,000.0013.64%73,700,000.004.96%8.68%主要是由于报告期公司新增对新疆融创诚新能源有限公司及</w:t>
      </w:r>
      <w:proofErr w:type="gramStart"/>
      <w:r>
        <w:rPr>
          <w:lang w:eastAsia="zh-CN"/>
        </w:rPr>
        <w:t>河南信恒企业管理</w:t>
      </w:r>
      <w:proofErr w:type="gramEnd"/>
      <w:r>
        <w:rPr>
          <w:lang w:eastAsia="zh-CN"/>
        </w:rPr>
        <w:t>合伙企业投资所致。应付账款156,281,614.649.70%157,247,556.3210.59%-0.89%2、以公允价值计量的资产和负债□适用√不适用3、截至报告期末的资产权利受限情况项目年末账面价值(万元)受限原因其他货币资金1,462.00应付票据保证金应收款项融资500.00以银行承兑汇票质押向银行借款固定资产-房屋建筑物8,503.75银行借款抵押无形资产-土地4,961.21银行借款抵押合计15,426.96</w:t>
      </w:r>
      <w:proofErr w:type="gramStart"/>
      <w:r>
        <w:rPr>
          <w:lang w:eastAsia="zh-CN"/>
        </w:rPr>
        <w:t>五</w:t>
      </w:r>
      <w:proofErr w:type="gramEnd"/>
      <w:r>
        <w:rPr>
          <w:lang w:eastAsia="zh-CN"/>
        </w:rPr>
        <w:t>、投资状况1、总体情况√适用□不适用报告期投资额（元）上年同期投资额（元）变动幅度260,688,474.97130,046,838.44100.46%2、报告期内获取的重大的股权投资情况√适用□不适用单位：元被投资公司名称主要业务投资方式投资金额持股比例资金来源合作方投资期限产品类型截至资产负债表日的进展情况预计收益本期投资盈亏是否涉诉披露日期（如有）披露索引（如有）新疆融创诚新能源有限公司新能源产品研发；新能源技术开发增资60,000,000.0025.00%自有资金四川兴能新源科技有限公司长期新能源产品研发；新能源技术开发已完成增资</w:t>
      </w:r>
      <w:proofErr w:type="gramStart"/>
      <w:r>
        <w:rPr>
          <w:lang w:eastAsia="zh-CN"/>
        </w:rPr>
        <w:t>否</w:t>
      </w:r>
      <w:proofErr w:type="gramEnd"/>
      <w:r>
        <w:rPr>
          <w:lang w:eastAsia="zh-CN"/>
        </w:rPr>
        <w:t>2018年05月11日《证券时报》、《证券日报》、《中国证券报》、《上海证券报》及巨潮资讯网www.cninfo.com.cn）金路资产管理有限公司资产管理、投资管理新设60,000,000.0060.00%自有资金上海御兰投资管理有限公司长期资产管理已经注册成立</w:t>
      </w:r>
      <w:proofErr w:type="gramStart"/>
      <w:r>
        <w:rPr>
          <w:lang w:eastAsia="zh-CN"/>
        </w:rPr>
        <w:t>否</w:t>
      </w:r>
      <w:proofErr w:type="gramEnd"/>
      <w:r>
        <w:rPr>
          <w:lang w:eastAsia="zh-CN"/>
        </w:rPr>
        <w:t>2019年01月25日《证券时报》、《证券日报》、《中国证券报》、《上海证券报》及巨潮资讯网（www.cninfo.com.cn）成都金泓股权投资有限公司对非上市企业的股权、上市公司非公开发行的股权等投资新设90,000,000.0090.00%自有资金上海御兰投资管理有限公司长期股权投资已经注册成立</w:t>
      </w:r>
      <w:proofErr w:type="gramStart"/>
      <w:r>
        <w:rPr>
          <w:lang w:eastAsia="zh-CN"/>
        </w:rPr>
        <w:t>否</w:t>
      </w:r>
      <w:proofErr w:type="gramEnd"/>
      <w:r>
        <w:rPr>
          <w:lang w:eastAsia="zh-CN"/>
        </w:rPr>
        <w:t>2019年01月25日《证券时报》、《证券日报》、《中国证券报》、《上海证券报》及巨潮资讯网（www.cninfo.com.cn）</w:t>
      </w:r>
      <w:proofErr w:type="gramStart"/>
      <w:r>
        <w:rPr>
          <w:lang w:eastAsia="zh-CN"/>
        </w:rPr>
        <w:t>河南信恒企业管理</w:t>
      </w:r>
      <w:proofErr w:type="gramEnd"/>
      <w:r>
        <w:rPr>
          <w:lang w:eastAsia="zh-CN"/>
        </w:rPr>
        <w:t>合伙企业管理咨询新设43,000,000.0018.53%自有资金河南资产基金管理有限公司、北京</w:t>
      </w:r>
      <w:proofErr w:type="gramStart"/>
      <w:r>
        <w:rPr>
          <w:lang w:eastAsia="zh-CN"/>
        </w:rPr>
        <w:t>尚长期</w:t>
      </w:r>
      <w:proofErr w:type="gramEnd"/>
      <w:r>
        <w:rPr>
          <w:lang w:eastAsia="zh-CN"/>
        </w:rPr>
        <w:t>投资COAMC2018HA01已经注册成立</w:t>
      </w:r>
      <w:proofErr w:type="gramStart"/>
      <w:r>
        <w:rPr>
          <w:lang w:eastAsia="zh-CN"/>
        </w:rPr>
        <w:t>否</w:t>
      </w:r>
      <w:proofErr w:type="gramEnd"/>
      <w:r>
        <w:rPr>
          <w:lang w:eastAsia="zh-CN"/>
        </w:rPr>
        <w:t>2019年05月11日《证券时报》、《证券日报》、《中国证券报》、《上海证券企业中资产管理有限公司、上海浩博投资有限公司、河南曜鑫企业咨询管理中心（有限合伙）、中军资产管理（珠海）有限公司、河南资产管理有限公司、柒捌玖资产管理有限公司资产包报》及巨潮资讯网（www.cninfo.com.cn）合计----253,000,000.00------------0.000.00------注:1.2019年11月，新疆</w:t>
      </w:r>
      <w:proofErr w:type="gramStart"/>
      <w:r>
        <w:rPr>
          <w:lang w:eastAsia="zh-CN"/>
        </w:rPr>
        <w:t>融创诚股东四川兴能</w:t>
      </w:r>
      <w:proofErr w:type="gramEnd"/>
      <w:r>
        <w:rPr>
          <w:lang w:eastAsia="zh-CN"/>
        </w:rPr>
        <w:t>将其持有的新疆</w:t>
      </w:r>
      <w:proofErr w:type="gramStart"/>
      <w:r>
        <w:rPr>
          <w:lang w:eastAsia="zh-CN"/>
        </w:rPr>
        <w:t>融创诚</w:t>
      </w:r>
      <w:proofErr w:type="gramEnd"/>
      <w:r>
        <w:rPr>
          <w:lang w:eastAsia="zh-CN"/>
        </w:rPr>
        <w:t>75%股权转让给成都市新众鑫新材料科技有限公司，公司结合自身所属行业及实际经营情况，放弃了本次参股公司股权转让优先购买权。2.2020年4月，公司与成都市新众鑫新材料科技有限公司、四川兴能新源科技有限公司三方签署了《投资</w:t>
      </w:r>
      <w:r>
        <w:rPr>
          <w:lang w:eastAsia="zh-CN"/>
        </w:rPr>
        <w:lastRenderedPageBreak/>
        <w:t>合作协议书》之补充协议（四），按照协议约定，公司将持有的参股公司新疆融创诚新能源有限公司25%股权全部转让给其控股股东成都市新众鑫新材料科技有限公司，待转让相关程序履行完毕后，公司将不再持有新疆融创诚新能源有限公司股权。3.2019年11月，公司与上海御兰投资管理有限公司签订了《股权转让协议》，上海御兰投资管理有限公司将其持有的成都金泓股权投资有限公司10%股权全部转让给本公司，目前，股权转让相关手续及工商登记变更资料已经完成，成都金泓股权投资有限公司为公司全资子公司，公司持有其100%股权。3、报告期内正在进行的重大的非股权投资情况√适用□不适用单位：</w:t>
      </w:r>
      <w:proofErr w:type="gramStart"/>
      <w:r>
        <w:rPr>
          <w:lang w:eastAsia="zh-CN"/>
        </w:rPr>
        <w:t>元项目</w:t>
      </w:r>
      <w:proofErr w:type="gramEnd"/>
      <w:r>
        <w:rPr>
          <w:lang w:eastAsia="zh-CN"/>
        </w:rPr>
        <w:t>名称投资方式是否为固定资产投资投资项目涉及行业本报告期投入金额截至报告期末累计实际投入金额资金来源项目进度预计收益截止报告期末累计实现的收益未达到计划进度和预计收益的原因披露日期（如有）披露索引（如有）MVR</w:t>
      </w:r>
      <w:proofErr w:type="gramStart"/>
      <w:r>
        <w:rPr>
          <w:lang w:eastAsia="zh-CN"/>
        </w:rPr>
        <w:t>法淡盐水</w:t>
      </w:r>
      <w:proofErr w:type="gramEnd"/>
      <w:r>
        <w:rPr>
          <w:lang w:eastAsia="zh-CN"/>
        </w:rPr>
        <w:t>浓缩节能技改项目自建是化工8,868,774.3826,435,859.46自筹100.00%不适用2017年03月31日《证券时报》、《证券日报》、《中国证券报》、《上海证券报》及巨潮资讯网（www.cninfo.com.cn）树脂公司就地改造自建是化工37,382,845.3039,201,912.98自筹20.00%不适用2018年11月29日《证券时报》、《证券日报》、《中国证券报》、《上海证券报》及巨潮资讯网（www.cninfo.com.cn）岷江电化西面边坡滑坡地质灾害综合治理工程项目自建是化工23,932,065.0023,932,065.00自筹97.00%不适用合计------70,183,684.6889,569,837.44----0.000.00------4、金融资产投资（1）证券投资情况□适用√不适用公司报告期不存在证券投资。（2）衍生</w:t>
      </w:r>
      <w:proofErr w:type="gramStart"/>
      <w:r>
        <w:rPr>
          <w:lang w:eastAsia="zh-CN"/>
        </w:rPr>
        <w:t>品投资</w:t>
      </w:r>
      <w:proofErr w:type="gramEnd"/>
      <w:r>
        <w:rPr>
          <w:lang w:eastAsia="zh-CN"/>
        </w:rPr>
        <w:t>情况√适用□不适用单位：万元衍生品投资操作方名称关联关系是否关联交易衍生品投资类型衍生品投资初始投资金额起始日期终止日期期初投资金额报告期内购入金额报告期内售出金额计提减值准备金额（如有）期末投资金额期末报告期实际损益金额投资金额占公司报告期末净资产比例PVC无否套期2002019201920031.6754.9000.00%23.23年04年06期货保值月29月05日日合计200----20031.6754.9000.00%23.23衍生品投资资金来源公司进行PVC期货套期保值业务的资金为公司自有资金涉诉情况（如适用）不适用衍生品投资审批董事会公告披露日期（如有)2017年01月18日衍生品投资审批股东会公告披露日期（如有)报告期衍生品持仓的风险分析及控制措施说明（包括但不限于市场风险、流动性风险、信用风险、操作风险、法律风险等）公司开展PVC期货套期保值业务，以从事套期保值为原则，不以套利、投机为目的，公司为此建立了《期货套期保值管理制度》，合理设置套期保值业务组织机构，建立岗位责任制，明确相关部门和岗位的职责权限，及时识别可能出现的法律法规风险、信用风险、操作风险及现金流等风险，并对此进行充分评估并采取有效控制补救措施。报告期，公司开展的PVC期货套期保值业务，均严格规范的履行了审核、审批程序，严格按照审核后的套保方案进行操作。已投资衍生</w:t>
      </w:r>
      <w:proofErr w:type="gramStart"/>
      <w:r>
        <w:rPr>
          <w:lang w:eastAsia="zh-CN"/>
        </w:rPr>
        <w:t>品报告</w:t>
      </w:r>
      <w:proofErr w:type="gramEnd"/>
      <w:r>
        <w:rPr>
          <w:lang w:eastAsia="zh-CN"/>
        </w:rPr>
        <w:t>期内市场价格或产品公允价值变动的情况，对衍生品公允价值的分析应披露具公司衍生品交易品种主要在期货交易所交易，市场透明度大，成交活跃，成交价格和当日结算单价能充分反映衍生品的公允价值。体使用的方法及相关假设与参数的设定报告期公司衍生品的会计政策及无变化会计核算具体原则与上</w:t>
      </w:r>
      <w:proofErr w:type="gramStart"/>
      <w:r>
        <w:rPr>
          <w:lang w:eastAsia="zh-CN"/>
        </w:rPr>
        <w:t>一报告</w:t>
      </w:r>
      <w:proofErr w:type="gramEnd"/>
      <w:r>
        <w:rPr>
          <w:lang w:eastAsia="zh-CN"/>
        </w:rPr>
        <w:t>期相比是否发生重大变化的说明独立董事对公司衍生</w:t>
      </w:r>
      <w:proofErr w:type="gramStart"/>
      <w:r>
        <w:rPr>
          <w:lang w:eastAsia="zh-CN"/>
        </w:rPr>
        <w:t>品投资</w:t>
      </w:r>
      <w:proofErr w:type="gramEnd"/>
      <w:r>
        <w:rPr>
          <w:lang w:eastAsia="zh-CN"/>
        </w:rPr>
        <w:t>及风公司《期货套期保值管理制度》，就公司开展PVC期货套期保值业务的行为明确了组织机构、业务操作流程、审批流程及风险控制措施，在保证正常生产经营的前提下，公司使用自有资金开展PVC期货套期保值业务，有利于锁定公司的生产成本，</w:t>
      </w:r>
      <w:proofErr w:type="gramStart"/>
      <w:r>
        <w:rPr>
          <w:lang w:eastAsia="zh-CN"/>
        </w:rPr>
        <w:t>险控制</w:t>
      </w:r>
      <w:proofErr w:type="gramEnd"/>
      <w:r>
        <w:rPr>
          <w:lang w:eastAsia="zh-CN"/>
        </w:rPr>
        <w:t>情况的专项意见控制经营风</w:t>
      </w:r>
      <w:r>
        <w:rPr>
          <w:lang w:eastAsia="zh-CN"/>
        </w:rPr>
        <w:lastRenderedPageBreak/>
        <w:t>险，提高公司抵御市场波动和平抑价格震荡的能力，报告期，公司开展</w:t>
      </w:r>
      <w:proofErr w:type="spellStart"/>
      <w:r>
        <w:rPr>
          <w:lang w:eastAsia="zh-CN"/>
        </w:rPr>
        <w:t>PVC</w:t>
      </w:r>
      <w:proofErr w:type="spellEnd"/>
      <w:r>
        <w:rPr>
          <w:lang w:eastAsia="zh-CN"/>
        </w:rPr>
        <w:t>期货套期保值业务严格遵守了国家相关法律、法规及公司衍生</w:t>
      </w:r>
      <w:proofErr w:type="gramStart"/>
      <w:r>
        <w:rPr>
          <w:lang w:eastAsia="zh-CN"/>
        </w:rPr>
        <w:t>品投资</w:t>
      </w:r>
      <w:proofErr w:type="gramEnd"/>
      <w:r>
        <w:rPr>
          <w:lang w:eastAsia="zh-CN"/>
        </w:rPr>
        <w:t>相关管理制度的规定，审议、操作过程合法、合</w:t>
      </w:r>
      <w:proofErr w:type="gramStart"/>
      <w:r>
        <w:rPr>
          <w:lang w:eastAsia="zh-CN"/>
        </w:rPr>
        <w:t>规</w:t>
      </w:r>
      <w:proofErr w:type="gramEnd"/>
      <w:r>
        <w:rPr>
          <w:lang w:eastAsia="zh-CN"/>
        </w:rPr>
        <w:t>，不存在损害公司和全体股东利益的情形。5、募集资金使用情况□适用√不适用公司报告期无募集资金使用情况。六、重大资产和股权出售1、出售重大资产情况□适用√不适用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四川省金路树脂有限公司子公司PVC树脂、烧碱380,000,000.001,108,145,456.10650,899,933.181,799,949,466.5687,831,352.5283,402,264.90四川岷江电化有限公司子公司电石生产、销售150,000,000.00486,642,400.7138,047,956.29674,178,529.3629,939,930.3830,505,091.61四川金路高新材料有限公司子公司人造革、膜、墙革77,075,000.0058,941,494.11-24,464,094.6958,085,907.41-10,007,814.06-9,837,483.75中江县金仓化工原料有限公子公司盐卤输送52,000,000.0052,025,371.4944,605,037.7131,862,253.875,208,098.785,210,236.12司广州市川金路物流有限公司子公司仓储20,000,000.0016,344,338.9316,319,727.72317,112.89-50,654.47-50,654.47四川金路仓储有限公司子公司仓储、化工产品50,000,000.0096,183,686.5149,155,666.67460,153,978.074,331,926.073,280,502.24四川金路物流有限责任公司子公司普通货运、危险货物运输15,000,000.0021,721,262.6110,013,603.0375,853,083.494,218,322.983,158,288.72金路融资租赁子公司融资租赁30,000,00041,247,11039,746,3383,514,150.-61,232.52-100,640.5有限公司.00（美元）.43.34926成都金泓股权子公司股权投资100,000,00675,043.66-173,968.6-173,968.6-173,968.6投资有限公司0.00777金路资产管理子公司资产管理100,000,0084,380,40939,369,659-3,631,340.-3,631,340.有限公司0.00.39.148686报告期内取得和处置子公司的情况√适用□不适用公司名称报告期内取得和处置子公司方式对整体生产经营和业绩的影响金路资产管理有限公司新设无重大影响成都金泓股权投资有限公司新设无重大影响</w:t>
      </w:r>
      <w:proofErr w:type="gramStart"/>
      <w:r>
        <w:rPr>
          <w:lang w:eastAsia="zh-CN"/>
        </w:rPr>
        <w:t>成都金迎晖</w:t>
      </w:r>
      <w:proofErr w:type="gramEnd"/>
      <w:r>
        <w:rPr>
          <w:lang w:eastAsia="zh-CN"/>
        </w:rPr>
        <w:t>置业有限公司新设无影响主要控股参股公司情况说明1.公司2019年第一次临时董事局会议、2019年第一次临时股东大会，审议通过了《关于对外投资设立控股子公司的议案》，公司与上海御兰投资管理有限公司签署了《投资合作协议书》，双方决定共同出资设立资产管理和股权投资公司，2019年3月26日，公司披露了《关于对外投资设立控股子公司的进展公告》，合作投资设立的金路资产管理有限公司和成都金泓股权投资有限公司注册成立。2.2019年11月21日，公司披露了《关于收购控股子公司少数股东股权的公告》，上海御兰投资管理有限公司将其持有的成都金泓股权投资有限公司10%股权全部转让给本公司，目前，股权转让相关手续及工商登记变更资料已经完成，成都金泓股权投资有限公司成为公司全资子公司，公司持有其100%股权。3.2019年12月18日，公司披露了《关于对外投资设立参股公司的公告》，公司与上海山钢实业（集团）有限公司签署了《投资合作协议书》，双方决定共同出资设立</w:t>
      </w:r>
      <w:proofErr w:type="gramStart"/>
      <w:r>
        <w:rPr>
          <w:lang w:eastAsia="zh-CN"/>
        </w:rPr>
        <w:t>成都金迎晖</w:t>
      </w:r>
      <w:proofErr w:type="gramEnd"/>
      <w:r>
        <w:rPr>
          <w:lang w:eastAsia="zh-CN"/>
        </w:rPr>
        <w:t>置业有限公司，其中公司认缴出资1,000万元，占其注册资本的10%，上海山</w:t>
      </w:r>
      <w:r>
        <w:rPr>
          <w:lang w:eastAsia="zh-CN"/>
        </w:rPr>
        <w:lastRenderedPageBreak/>
        <w:t>钢实业（集团）有限公司认缴出资9,000万元，占其注册资本的90%。目前，该公司已经注册成立。八、公司控制的结构化主体情况□适用√不适用九、公司未来发展的展望2020年，预计国内外经济形势更为复杂、严峻。疫情对经济的影响持续深远，关税壁垒、贸易冲突和地缘政治风险等不确定性因素增加，全球经济增速将进一步放缓，我国经济增速换挡，也面临较大的下行压力，化工行业受周期性调整等影响，竞争更为激烈，行业利润率面临较大的不确定性。2020年，是国家“十三五”发展规划收官之年，我国经济稳中向好的总体趋势不会改变。为刺激经济发展，国家层面运用财政、货币、就业政策促进经济发展。2020年，是公司发展机遇与挑战并存的关键之年，公司保持战略定力，凝聚发展动力，强化“双轮驱动”，提升转型升级力度，推动集团产业高质量发展。（一）继续深化改革，强化精细化管理，提升集团运营管控效率。（二）聚焦安全环保基础，精心组织生产经营工作，全面提供要素保障，不断提高产品市场占有率。（三）以市场为导向，加大技术研发力度，加强技术研发发平台和科研队伍建设，促进科技成果转化，加快现有主业产品结构调整，提升企业的盈利能力。十、接待调研、沟通、采访等活动情况1、报告期内接待调研、沟通、采访等活动登记表√适用□不适用接待时间接待方式接待对象类型调研的基本情况索引2019年02月26日实地调研个人参加公司股东大会，提供股东大会资料2019年04月26日实地调研个人参加公司股东大会，提供股东大会资料接待次数2接待机构数量0接待个人数量4接待其他对象数量0是否披露、透露或泄露未公开重大信息否</w:t>
      </w:r>
    </w:p>
    <w:p w14:paraId="5B6EDC14" w14:textId="77777777" w:rsidR="00035624" w:rsidRDefault="00000000">
      <w:pPr>
        <w:rPr>
          <w:lang w:eastAsia="zh-CN"/>
        </w:rPr>
      </w:pPr>
      <w:r>
        <w:rPr>
          <w:rFonts w:hint="eastAsia"/>
          <w:lang w:eastAsia="zh-CN"/>
        </w:rPr>
        <w:t>标签数量：23</w:t>
      </w:r>
    </w:p>
    <w:sectPr w:rsidR="000356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B443" w14:textId="77777777" w:rsidR="00BE041D" w:rsidRDefault="00BE041D">
      <w:pPr>
        <w:spacing w:line="240" w:lineRule="auto"/>
      </w:pPr>
      <w:r>
        <w:separator/>
      </w:r>
    </w:p>
  </w:endnote>
  <w:endnote w:type="continuationSeparator" w:id="0">
    <w:p w14:paraId="07128C5F" w14:textId="77777777" w:rsidR="00BE041D" w:rsidRDefault="00BE0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4B46" w14:textId="77777777" w:rsidR="00BE041D" w:rsidRDefault="00BE041D">
      <w:pPr>
        <w:spacing w:after="0"/>
      </w:pPr>
      <w:r>
        <w:separator/>
      </w:r>
    </w:p>
  </w:footnote>
  <w:footnote w:type="continuationSeparator" w:id="0">
    <w:p w14:paraId="600E52E0" w14:textId="77777777" w:rsidR="00BE041D" w:rsidRDefault="00BE04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59535055">
    <w:abstractNumId w:val="1"/>
  </w:num>
  <w:num w:numId="2" w16cid:durableId="968124227">
    <w:abstractNumId w:val="4"/>
  </w:num>
  <w:num w:numId="3" w16cid:durableId="1747150431">
    <w:abstractNumId w:val="5"/>
  </w:num>
  <w:num w:numId="4" w16cid:durableId="2026857572">
    <w:abstractNumId w:val="2"/>
  </w:num>
  <w:num w:numId="5" w16cid:durableId="790787358">
    <w:abstractNumId w:val="0"/>
  </w:num>
  <w:num w:numId="6" w16cid:durableId="1960261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35624"/>
    <w:rsid w:val="0006063C"/>
    <w:rsid w:val="0015074B"/>
    <w:rsid w:val="0029639D"/>
    <w:rsid w:val="002F06D8"/>
    <w:rsid w:val="00326F90"/>
    <w:rsid w:val="00AA1D8D"/>
    <w:rsid w:val="00B47730"/>
    <w:rsid w:val="00BE041D"/>
    <w:rsid w:val="00CB0664"/>
    <w:rsid w:val="00FC693F"/>
    <w:rsid w:val="69EB1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9EA35"/>
  <w14:defaultImageDpi w14:val="300"/>
  <w15:docId w15:val="{F1FB2C52-2761-43B8-8EEC-59A8AFFA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lsdException w:name="Medium List 1" w:uiPriority="65" w:qFormat="1"/>
    <w:lsdException w:name="Medium List 2" w:uiPriority="66" w:qFormat="1"/>
    <w:lsdException w:name="Medium Grid 1" w:uiPriority="67"/>
    <w:lsdException w:name="Medium Grid 2" w:uiPriority="68" w:qFormat="1"/>
    <w:lsdException w:name="Medium Grid 3" w:uiPriority="69" w:qFormat="1"/>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D8D359A1131A4B12924BE4B6D711CB76</vt:lpwstr>
  </property>
</Properties>
</file>