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40F3" w14:textId="77777777" w:rsidR="00850B6E" w:rsidRDefault="00000000">
      <w:pPr>
        <w:rPr>
          <w:lang w:eastAsia="zh-CN"/>
        </w:rPr>
      </w:pPr>
      <w:r>
        <w:rPr>
          <w:lang w:eastAsia="zh-CN"/>
        </w:rPr>
        <w:t>第四节董</w:t>
      </w:r>
      <w:r w:rsidRPr="007222FE">
        <w:rPr>
          <w:lang w:eastAsia="zh-CN"/>
        </w:rPr>
        <w:t>事会报告一、概述公司在第六届董事会的领导下，在围绕开展经营电子产品的贸易业务的同时，以实施内部控制规范为契机，进一步强化了内部控制体系，基本完成了报告期内的各项工作。1、报告期内，公司实现营业收入4,573.75万元，营业利润-829.61万元，归属于上市公司股东的净利润-829.61万元，总资产1,895.33万元。报告期内，公司营业收入较上年同期减少主要是因为报告期内贸易量较上年同期有所减少所致，营业利润、归属于上市公司股东的净利润较上年同期减少主要是因为上年同期收回应收款及本年度贸易量有所减少所致。2、公司已建立、健全了一套符合公司实际情况的内部控制体系，公司董事会授权内控</w:t>
      </w:r>
      <w:proofErr w:type="gramStart"/>
      <w:r w:rsidRPr="007222FE">
        <w:rPr>
          <w:lang w:eastAsia="zh-CN"/>
        </w:rPr>
        <w:t>内审部负责</w:t>
      </w:r>
      <w:proofErr w:type="gramEnd"/>
      <w:r w:rsidRPr="007222FE">
        <w:rPr>
          <w:lang w:eastAsia="zh-CN"/>
        </w:rPr>
        <w:t>公司内部控制评价的具体组织实施工作，对纳入评价范围的高风险领域和单位进行审计评价。报告期内，为了积极固化2011年度的内控建设成果，持续优化内控体系及运行机制，公司制定了《2012年度内部控制工作计划及实施方案》。2012年度，公司的内控工作重心转移到内部控制体系完善方面，进一步深化了内部控制提升工作，公司内部控制体系得以持续改进。二、主营业务分析1、概述公司回顾总结前期披露的发展战略和经营计划在报告期内的进展情况公司与</w:t>
      </w:r>
      <w:proofErr w:type="gramStart"/>
      <w:r w:rsidRPr="007222FE">
        <w:rPr>
          <w:lang w:eastAsia="zh-CN"/>
        </w:rPr>
        <w:t>昆山龙</w:t>
      </w:r>
      <w:proofErr w:type="gramEnd"/>
      <w:r w:rsidRPr="007222FE">
        <w:rPr>
          <w:lang w:eastAsia="zh-CN"/>
        </w:rPr>
        <w:t>腾光电有限公司2012年1月16日签订的《日常关联交易协议》，公司拟2012年度从</w:t>
      </w:r>
      <w:proofErr w:type="gramStart"/>
      <w:r w:rsidRPr="007222FE">
        <w:rPr>
          <w:lang w:eastAsia="zh-CN"/>
        </w:rPr>
        <w:t>关联方龙腾</w:t>
      </w:r>
      <w:proofErr w:type="gramEnd"/>
      <w:r w:rsidRPr="007222FE">
        <w:rPr>
          <w:lang w:eastAsia="zh-CN"/>
        </w:rPr>
        <w:t>光电采购液晶薄膜显示面板产品，预计全年交易总额不高于人民币10,000万元。截止2012年12月31日，公司向</w:t>
      </w:r>
      <w:proofErr w:type="gramStart"/>
      <w:r w:rsidRPr="007222FE">
        <w:rPr>
          <w:lang w:eastAsia="zh-CN"/>
        </w:rPr>
        <w:t>昆山龙</w:t>
      </w:r>
      <w:proofErr w:type="gramEnd"/>
      <w:r w:rsidRPr="007222FE">
        <w:rPr>
          <w:lang w:eastAsia="zh-CN"/>
        </w:rPr>
        <w:t>腾光电有限公司采购液晶薄膜显示面板人民币4,431.97万元，开展贸易业务,实现营业收入4,573.75万元。公司实际经营</w:t>
      </w:r>
      <w:proofErr w:type="gramStart"/>
      <w:r w:rsidRPr="007222FE">
        <w:rPr>
          <w:lang w:eastAsia="zh-CN"/>
        </w:rPr>
        <w:t>业绩较曾公开</w:t>
      </w:r>
      <w:proofErr w:type="gramEnd"/>
      <w:r w:rsidRPr="007222FE">
        <w:rPr>
          <w:lang w:eastAsia="zh-CN"/>
        </w:rPr>
        <w:t>披露过的本年度盈利预测低于或高于20%以上的差异原因□适用√不适用2、收入公司实物销售收入是否大于劳务收入√是□</w:t>
      </w:r>
      <w:proofErr w:type="gramStart"/>
      <w:r w:rsidRPr="007222FE">
        <w:rPr>
          <w:lang w:eastAsia="zh-CN"/>
        </w:rPr>
        <w:t>否相关</w:t>
      </w:r>
      <w:proofErr w:type="gramEnd"/>
      <w:r w:rsidRPr="007222FE">
        <w:rPr>
          <w:lang w:eastAsia="zh-CN"/>
        </w:rPr>
        <w:t>数据同比发生变动30%以上的原因说明√适用□不适用报告期销售额4,575.37万元，较去年同期9,986.71万元下降54.20%，主要原因是由于现有客户的产品需求量有所降低，公司将积极开拓新的客户，增加贸易量。公司重大的在手订单情况□适用√不适用公司报告期内产品或服务发生重大变化或调整有关情况□适用√不适用公司主要销售客户情况公司前5大客户资料√适用□不适用3、成本行业分类单位：</w:t>
      </w:r>
      <w:proofErr w:type="gramStart"/>
      <w:r w:rsidRPr="007222FE">
        <w:rPr>
          <w:lang w:eastAsia="zh-CN"/>
        </w:rPr>
        <w:t>元产品</w:t>
      </w:r>
      <w:proofErr w:type="gramEnd"/>
      <w:r w:rsidRPr="007222FE">
        <w:rPr>
          <w:lang w:eastAsia="zh-CN"/>
        </w:rPr>
        <w:t>分类单位：元公司主要供应</w:t>
      </w:r>
      <w:proofErr w:type="gramStart"/>
      <w:r w:rsidRPr="007222FE">
        <w:rPr>
          <w:lang w:eastAsia="zh-CN"/>
        </w:rPr>
        <w:t>商情况</w:t>
      </w:r>
      <w:proofErr w:type="gramEnd"/>
      <w:r w:rsidRPr="007222FE">
        <w:rPr>
          <w:lang w:eastAsia="zh-CN"/>
        </w:rPr>
        <w:t>公司前5名供应商资料√适用□不适用4、费用报告期管理</w:t>
      </w:r>
      <w:r>
        <w:rPr>
          <w:lang w:eastAsia="zh-CN"/>
        </w:rPr>
        <w:t>费用6,594,304.33元，较上年同期4,642,408.90元增长42.04%，主要系本年度内公司日常运营费用有所增加所致。财务费用2,819,397.04元，较上年同期3,036,385.27元减少7.15%，主要系本年度借款本金较上年度减少所致。5、研发支出不适用。6、现金流单位：</w:t>
      </w:r>
      <w:proofErr w:type="gramStart"/>
      <w:r>
        <w:rPr>
          <w:lang w:eastAsia="zh-CN"/>
        </w:rPr>
        <w:t>元相关</w:t>
      </w:r>
      <w:proofErr w:type="gramEnd"/>
      <w:r>
        <w:rPr>
          <w:lang w:eastAsia="zh-CN"/>
        </w:rPr>
        <w:t>数据同比发生变动30%以上的原因说明√适用□不适用报告期内公司经营活动的现金流量与本年度净利润存在重大差异的原因说明√适用□不适用本年度净利润-8,296,122.37元，较本期经营活动产生的现金流量净额-3,449,101.82元差异140.53%，主要原因系由于公司借款计提利息导致利润降低所致。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投资状况分析1、对外股权投资情况（1）对外投资情况（2）持有金融企业股权情况（3）证券投资情况2、委托理财、衍生</w:t>
      </w:r>
      <w:proofErr w:type="gramStart"/>
      <w:r>
        <w:rPr>
          <w:lang w:eastAsia="zh-CN"/>
        </w:rPr>
        <w:t>品投资</w:t>
      </w:r>
      <w:proofErr w:type="gramEnd"/>
      <w:r>
        <w:rPr>
          <w:lang w:eastAsia="zh-CN"/>
        </w:rPr>
        <w:t>和委托贷款情况（1）委托理财情况单位：万元（2）衍生</w:t>
      </w:r>
      <w:proofErr w:type="gramStart"/>
      <w:r>
        <w:rPr>
          <w:lang w:eastAsia="zh-CN"/>
        </w:rPr>
        <w:t>品投资</w:t>
      </w:r>
      <w:proofErr w:type="gramEnd"/>
      <w:r>
        <w:rPr>
          <w:lang w:eastAsia="zh-CN"/>
        </w:rPr>
        <w:t>情况报告期末衍生</w:t>
      </w:r>
      <w:proofErr w:type="gramStart"/>
      <w:r>
        <w:rPr>
          <w:lang w:eastAsia="zh-CN"/>
        </w:rPr>
        <w:t>品投资</w:t>
      </w:r>
      <w:proofErr w:type="gramEnd"/>
      <w:r>
        <w:rPr>
          <w:lang w:eastAsia="zh-CN"/>
        </w:rPr>
        <w:t>的持仓情况□适用√不适用（3）委托贷款情况单位：万元3、募集资金使用情况报告期内，公司不存在募集资金的使用情况。4、主要子公司、参股公司分析主要子公司、参股公司情况）主要子公司、参股公司情况说明：</w:t>
      </w:r>
      <w:proofErr w:type="gramStart"/>
      <w:r>
        <w:rPr>
          <w:lang w:eastAsia="zh-CN"/>
        </w:rPr>
        <w:t>无报告</w:t>
      </w:r>
      <w:proofErr w:type="gramEnd"/>
      <w:r>
        <w:rPr>
          <w:lang w:eastAsia="zh-CN"/>
        </w:rPr>
        <w:t>期内取得和处置子公司的情况□适用√不</w:t>
      </w:r>
      <w:r>
        <w:rPr>
          <w:lang w:eastAsia="zh-CN"/>
        </w:rPr>
        <w:lastRenderedPageBreak/>
        <w:t>适用5、非募集资金投资的重大项目情况报告期内，公司不存在非募集资金投资的重大项目情况。六、公司控制的特殊目的主体情况报告期内，公司不存在控制的特殊目的主体情况。七、公司未来发展的展望（一）公司未来发展战略2013年，公司除继续经营贸易业务，积极开拓新的客户，寻找新的利润增长点外，将全力推进</w:t>
      </w:r>
      <w:r w:rsidRPr="007222FE">
        <w:rPr>
          <w:lang w:eastAsia="zh-CN"/>
        </w:rPr>
        <w:t>公司资产重组工作，使公司走上一条持续经营、良性发展之路。同时，公司将继续完善以风险防范为导向的内部控制体系，规范内部控制制度的执行，强化内部控制监督检查，提高公司风险管控水平，促进公司健康、可持续发展。（二）资金需求及使用计划目前公司日常经营运作资金来源于公</w:t>
      </w:r>
      <w:r>
        <w:rPr>
          <w:lang w:eastAsia="zh-CN"/>
        </w:rPr>
        <w:t>司向关联方的借款及自有资金。此外，为保证公司2013年能够正常经营，昆山经济技术开发区资产经营有限公司承诺继续在资金与业务方面给予本公司必要支持。（三）可能面临的风险1、公司主营业务单一，目前主要是开展</w:t>
      </w:r>
      <w:r>
        <w:rPr>
          <w:highlight w:val="red"/>
          <w:lang w:eastAsia="zh-CN"/>
        </w:rPr>
        <w:t>液晶薄膜显示面板</w:t>
      </w:r>
      <w:r>
        <w:rPr>
          <w:lang w:eastAsia="zh-CN"/>
        </w:rPr>
        <w:t>的</w:t>
      </w:r>
      <w:r w:rsidRPr="007222FE">
        <w:rPr>
          <w:highlight w:val="red"/>
          <w:lang w:eastAsia="zh-CN"/>
        </w:rPr>
        <w:t>贸易</w:t>
      </w:r>
      <w:r>
        <w:rPr>
          <w:lang w:eastAsia="zh-CN"/>
        </w:rPr>
        <w:t>业务，利润率较低，且</w:t>
      </w:r>
      <w:r>
        <w:rPr>
          <w:highlight w:val="red"/>
          <w:lang w:eastAsia="zh-CN"/>
        </w:rPr>
        <w:t>液晶薄膜显示面板</w:t>
      </w:r>
      <w:r>
        <w:rPr>
          <w:lang w:eastAsia="zh-CN"/>
        </w:rPr>
        <w:t>产品受国际环境影响较大，行业又存在周期性因素。为了实现公司经营的健康稳定、可持续发展，公司要积极开拓新的客户和利润增长点。2、由于公司2012年度经审计的净资产为负值，根据《深圳证券交易所股票上市规则（2012修订）》的规定，深圳证券交易所将对公司股票实行“退市风险警示”的特别处理。实行退</w:t>
      </w:r>
      <w:proofErr w:type="gramStart"/>
      <w:r>
        <w:rPr>
          <w:lang w:eastAsia="zh-CN"/>
        </w:rPr>
        <w:t>市风险</w:t>
      </w:r>
      <w:proofErr w:type="gramEnd"/>
      <w:r>
        <w:rPr>
          <w:lang w:eastAsia="zh-CN"/>
        </w:rPr>
        <w:t>警示后，如果公司2013年度经审计的净资产继续为负值，深圳证券交易所将有权决定暂停公司股票的上市交易，公司将面临股票暂停上市的风险。2013年是公司关键的一年，公司董事会将积极主动采取措施，努力</w:t>
      </w:r>
      <w:r w:rsidRPr="007222FE">
        <w:rPr>
          <w:lang w:eastAsia="zh-CN"/>
        </w:rPr>
        <w:t>推动资产重组工作，希望通过资产重组彻底解</w:t>
      </w:r>
      <w:r>
        <w:rPr>
          <w:lang w:eastAsia="zh-CN"/>
        </w:rPr>
        <w:t>决公司的持续经营问题，力争尽快消除退市风险。八、董事会对会计师事务所本报告期“非标准审计报告”的说明中</w:t>
      </w:r>
      <w:proofErr w:type="gramStart"/>
      <w:r>
        <w:rPr>
          <w:lang w:eastAsia="zh-CN"/>
        </w:rPr>
        <w:t>磊</w:t>
      </w:r>
      <w:proofErr w:type="gramEnd"/>
      <w:r>
        <w:rPr>
          <w:lang w:eastAsia="zh-CN"/>
        </w:rPr>
        <w:t>会计师事务所有限责任公司为本公司2012年度财务报告出具了</w:t>
      </w:r>
      <w:proofErr w:type="gramStart"/>
      <w:r>
        <w:rPr>
          <w:lang w:eastAsia="zh-CN"/>
        </w:rPr>
        <w:t>带强调</w:t>
      </w:r>
      <w:proofErr w:type="gramEnd"/>
      <w:r>
        <w:rPr>
          <w:lang w:eastAsia="zh-CN"/>
        </w:rPr>
        <w:t>事项段的无保留意见的审计报告，并</w:t>
      </w:r>
      <w:proofErr w:type="gramStart"/>
      <w:r>
        <w:rPr>
          <w:lang w:eastAsia="zh-CN"/>
        </w:rPr>
        <w:t>作出</w:t>
      </w:r>
      <w:proofErr w:type="gramEnd"/>
      <w:r>
        <w:rPr>
          <w:lang w:eastAsia="zh-CN"/>
        </w:rPr>
        <w:t>了《关于出具深圳市太光电信股份有限公司非标准审计意见的说明》。董事会认为，中</w:t>
      </w:r>
      <w:proofErr w:type="gramStart"/>
      <w:r>
        <w:rPr>
          <w:lang w:eastAsia="zh-CN"/>
        </w:rPr>
        <w:t>磊</w:t>
      </w:r>
      <w:proofErr w:type="gramEnd"/>
      <w:r>
        <w:rPr>
          <w:lang w:eastAsia="zh-CN"/>
        </w:rPr>
        <w:t>会计师事务所有限责任公司出具的报告和说明是客观、真实的，符合公司的实际情况。截止2012年12月31日，公司流动负债高于资产总额9,253.30万元，累计亏损28,461.95万元，所有者权益为-13,753.30万元。公司的持续经营依赖于未来创造的经营现金流量及间接控股股东及其控股企业的支持。近年来，公司积极努力地推进债务重组和资产重组等各项工作，相关债务重组和应收款回收工作为改善公司财务状况起到了一定的积极作用。针对以上状况，公司拟在2013年度采取以下改善措施：（1）继续发展相关业务，保证稳固收益为改善公司经营状况，公司将继续经营贸易业务，公司已于2013年1月10日与</w:t>
      </w:r>
      <w:proofErr w:type="gramStart"/>
      <w:r>
        <w:rPr>
          <w:lang w:eastAsia="zh-CN"/>
        </w:rPr>
        <w:t>昆山龙</w:t>
      </w:r>
      <w:proofErr w:type="gramEnd"/>
      <w:r>
        <w:rPr>
          <w:lang w:eastAsia="zh-CN"/>
        </w:rPr>
        <w:t>腾光电有限公司签订了《日常经营关联交易协议》，本公司2013年拟向</w:t>
      </w:r>
      <w:proofErr w:type="gramStart"/>
      <w:r>
        <w:rPr>
          <w:lang w:eastAsia="zh-CN"/>
        </w:rPr>
        <w:t>昆山龙</w:t>
      </w:r>
      <w:proofErr w:type="gramEnd"/>
      <w:r>
        <w:rPr>
          <w:lang w:eastAsia="zh-CN"/>
        </w:rPr>
        <w:t>腾光电有限公司采购液晶薄膜显示面板产品进行贸易，采购金额不高于人民币8,000万元。该项交易已经本公司2013年1月31日2013年度第一次临时股东大会审议通过。（2）为保证公司2013年能够正常经营，昆山经济技术开发区资产经营有限公司（以下简称“昆山资产经营公司”）承诺继续在资金与业务方面给予本公司必要支持：①资金方面：昆山资产经营公司积极为公司的到期债务争取展期，以解决公司的财务困难；昆山资产经营公司承诺若公司2013年生产经营出现资金缺口，昆山资产经营公司承诺将及时提供相应的资金支持。同时，为了支持本公司的持续经营，本公司债权人昆山开发区国投控股有限公司已同意公司对其的已到期债务展期一年，自2013年1月1日起18个月内不会就其对本公司的债权向法院申请强制执行。②业务方面：为确保公司有可靠的经营收益，公司2013年拟继续开</w:t>
      </w:r>
      <w:r w:rsidRPr="007222FE">
        <w:rPr>
          <w:lang w:eastAsia="zh-CN"/>
        </w:rPr>
        <w:t>展经营电了产品</w:t>
      </w:r>
      <w:r>
        <w:rPr>
          <w:lang w:eastAsia="zh-CN"/>
        </w:rPr>
        <w:t>的</w:t>
      </w:r>
      <w:r w:rsidRPr="007222FE">
        <w:rPr>
          <w:highlight w:val="red"/>
          <w:lang w:eastAsia="zh-CN"/>
        </w:rPr>
        <w:t>贸易</w:t>
      </w:r>
      <w:r>
        <w:rPr>
          <w:lang w:eastAsia="zh-CN"/>
        </w:rPr>
        <w:t>业务，为确保公司生产经营的顺利开展，昆山资产经营公司将在</w:t>
      </w:r>
      <w:r w:rsidRPr="007222FE">
        <w:rPr>
          <w:lang w:eastAsia="zh-CN"/>
        </w:rPr>
        <w:t>采购领域、售后环节等</w:t>
      </w:r>
      <w:r>
        <w:rPr>
          <w:lang w:eastAsia="zh-CN"/>
        </w:rPr>
        <w:t>方面给予</w:t>
      </w:r>
      <w:r>
        <w:rPr>
          <w:lang w:eastAsia="zh-CN"/>
        </w:rPr>
        <w:lastRenderedPageBreak/>
        <w:t>公司必要的支持。（3）积极</w:t>
      </w:r>
      <w:r w:rsidRPr="007222FE">
        <w:rPr>
          <w:lang w:eastAsia="zh-CN"/>
        </w:rPr>
        <w:t>推进资产重组工作本公司将全力推进公司资产重组工作，昆山资产经营公司承诺将在2013年全力支持公司进行资产重组，恢复公司持续经营能力，实现良性发展。（4）完善内控体系，规范公司治理内控体系的建设与完善是一项任重道远的系统工程，公司将继续完善以风险防范为导向的内部控制体系，规范内部控制制度的执行，强化内部控制监督检查，提高公司风险管控水平，促进公司健康、可持续发展。九、与上年度财务报告相比，会计政策、会计估计和核算方法发生变化的情况说明不适用。十、报告期内发生重大会计差错更正需追溯重述的情况说明不适用。十一、与上年度财务报告相比，合并报表范围发生变化的情况说明不适用。十二、公司利润分配及分红派息情况报告期</w:t>
      </w:r>
      <w:proofErr w:type="gramStart"/>
      <w:r w:rsidRPr="007222FE">
        <w:rPr>
          <w:lang w:eastAsia="zh-CN"/>
        </w:rPr>
        <w:t>内利润</w:t>
      </w:r>
      <w:proofErr w:type="gramEnd"/>
      <w:r w:rsidRPr="007222FE">
        <w:rPr>
          <w:lang w:eastAsia="zh-CN"/>
        </w:rPr>
        <w:t>分配政策特别是现金分红政策的制定、执行或调整情况根据中国证监会《关于进一步落实上市公司现金分红有关事项的通知》和深圳证监局</w:t>
      </w:r>
      <w:proofErr w:type="gramStart"/>
      <w:r w:rsidRPr="007222FE">
        <w:rPr>
          <w:lang w:eastAsia="zh-CN"/>
        </w:rPr>
        <w:t>《</w:t>
      </w:r>
      <w:proofErr w:type="gramEnd"/>
      <w:r w:rsidRPr="007222FE">
        <w:rPr>
          <w:lang w:eastAsia="zh-CN"/>
        </w:rPr>
        <w:t>关于认真贯彻落实〈关于进一步落实上市公司现金分红相关事项的通知〉（深证局公司字【2012】43号文件）的相关规定，结合公司实际情况，公司将</w:t>
      </w:r>
      <w:proofErr w:type="gramStart"/>
      <w:r w:rsidRPr="007222FE">
        <w:rPr>
          <w:lang w:eastAsia="zh-CN"/>
        </w:rPr>
        <w:t>《</w:t>
      </w:r>
      <w:proofErr w:type="gramEnd"/>
      <w:r w:rsidRPr="007222FE">
        <w:rPr>
          <w:lang w:eastAsia="zh-CN"/>
        </w:rPr>
        <w:t>公司章程</w:t>
      </w:r>
      <w:proofErr w:type="gramStart"/>
      <w:r w:rsidRPr="007222FE">
        <w:rPr>
          <w:lang w:eastAsia="zh-CN"/>
        </w:rPr>
        <w:t>》</w:t>
      </w:r>
      <w:proofErr w:type="gramEnd"/>
      <w:r w:rsidRPr="007222FE">
        <w:rPr>
          <w:lang w:eastAsia="zh-CN"/>
        </w:rPr>
        <w:t>中关于利润分配政策的部分条款进行了进一步细化，明确了利润分配的原则、利润分配的形式、现金分红的条件、利润分配的决策程序和机制等内容，并制定了公司《未来三年（2012-2014年）股东回报规划》（以下简称《回报规划》），《公司章程》的修改及《回报规划》已分别经第五届董事会2012年第四次临时会议及2012年度第三次临时股东大会审议通过，决策程序透明，符合相关规定。上述制度的制定，为公司建立了科学、持续、稳定的分红政策和规划，更好地保护了股东特别是中小股东的利益，进一步完善了公司法人治理结构。详细内容请见2012年6月29日和2012年7月21日《证券时报》和巨潮资讯网上的公司公告。公司报告期利润分配预案及资本公积金转增股本预案符合公司章程等的相关规定。公司近3年（</w:t>
      </w:r>
      <w:proofErr w:type="gramStart"/>
      <w:r w:rsidRPr="007222FE">
        <w:rPr>
          <w:lang w:eastAsia="zh-CN"/>
        </w:rPr>
        <w:t>含报告</w:t>
      </w:r>
      <w:proofErr w:type="gramEnd"/>
      <w:r w:rsidRPr="007222FE">
        <w:rPr>
          <w:lang w:eastAsia="zh-CN"/>
        </w:rPr>
        <w:t>期）的利润分配预案或方案及资本公积金转增股本预案或方案情况2012年度：经中</w:t>
      </w:r>
      <w:proofErr w:type="gramStart"/>
      <w:r w:rsidRPr="007222FE">
        <w:rPr>
          <w:lang w:eastAsia="zh-CN"/>
        </w:rPr>
        <w:t>磊</w:t>
      </w:r>
      <w:proofErr w:type="gramEnd"/>
      <w:r w:rsidRPr="007222FE">
        <w:rPr>
          <w:lang w:eastAsia="zh-CN"/>
        </w:rPr>
        <w:t>会计师事务所有限责任公司审计，公司2012年度实现净利润为-829.61万元，累计可供股东分配的利润为-28,461.95万元。鉴于公司2012年度亏损，且累计可供股东分配的利润为负数，2012年度不进行利润分配，也不进行资本公积金转增股本。2011年度：经中</w:t>
      </w:r>
      <w:proofErr w:type="gramStart"/>
      <w:r w:rsidRPr="007222FE">
        <w:rPr>
          <w:lang w:eastAsia="zh-CN"/>
        </w:rPr>
        <w:t>磊</w:t>
      </w:r>
      <w:proofErr w:type="gramEnd"/>
      <w:r w:rsidRPr="007222FE">
        <w:rPr>
          <w:lang w:eastAsia="zh-CN"/>
        </w:rPr>
        <w:t>会计师事务所有限责任公司审计，公司2011年度实现净利润为61.84万元，累计可供股东分配的利润为-27,632.33万元。鉴于公司2011年度累计可供股东分配的利润为负数，2011年度实现的利润全部用于弥补以前年度亏损，2011年度不进行利润分配，也不进行资本公积金转增股本。2010年度：经中</w:t>
      </w:r>
      <w:proofErr w:type="gramStart"/>
      <w:r w:rsidRPr="007222FE">
        <w:rPr>
          <w:lang w:eastAsia="zh-CN"/>
        </w:rPr>
        <w:t>磊</w:t>
      </w:r>
      <w:proofErr w:type="gramEnd"/>
      <w:r w:rsidRPr="007222FE">
        <w:rPr>
          <w:lang w:eastAsia="zh-CN"/>
        </w:rPr>
        <w:t>会计师事务所有限责任公司审计，公司2010年度实现净利润为366.67万元，累计可供股东分配的利润为-27,694.17万元。鉴于公司2010年度累计可供股东分配的利润为负数，2010年度实现的利润全部用于弥补以前年度亏损，2010年度不进行利润分配，也不进行资本公积金转增股本。公司近三年现金分红情况表:单位：元公司报告期内</w:t>
      </w:r>
      <w:proofErr w:type="gramStart"/>
      <w:r w:rsidRPr="007222FE">
        <w:rPr>
          <w:lang w:eastAsia="zh-CN"/>
        </w:rPr>
        <w:t>盈利且母公司</w:t>
      </w:r>
      <w:proofErr w:type="gramEnd"/>
      <w:r w:rsidRPr="007222FE">
        <w:rPr>
          <w:lang w:eastAsia="zh-CN"/>
        </w:rPr>
        <w:t>未分配利润</w:t>
      </w:r>
      <w:proofErr w:type="gramStart"/>
      <w:r w:rsidRPr="007222FE">
        <w:rPr>
          <w:lang w:eastAsia="zh-CN"/>
        </w:rPr>
        <w:t>为</w:t>
      </w:r>
      <w:r>
        <w:rPr>
          <w:lang w:eastAsia="zh-CN"/>
        </w:rPr>
        <w:t>正但未</w:t>
      </w:r>
      <w:proofErr w:type="gramEnd"/>
      <w:r>
        <w:rPr>
          <w:lang w:eastAsia="zh-CN"/>
        </w:rPr>
        <w:t>提出现金红利分配预案□适用√不适用十三、社会责任情况不适用。十四、报告期内接待调研、沟通、采访等活动登记表。</w:t>
      </w:r>
    </w:p>
    <w:p w14:paraId="3D0B5A3B" w14:textId="77777777" w:rsidR="00850B6E" w:rsidRDefault="00000000">
      <w:r>
        <w:rPr>
          <w:rFonts w:hint="eastAsia"/>
          <w:lang w:eastAsia="zh-CN"/>
        </w:rPr>
        <w:t>标签数量：29</w:t>
      </w:r>
    </w:p>
    <w:sectPr w:rsidR="00850B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F224" w14:textId="77777777" w:rsidR="00EA6049" w:rsidRDefault="00EA6049">
      <w:pPr>
        <w:spacing w:line="240" w:lineRule="auto"/>
      </w:pPr>
      <w:r>
        <w:separator/>
      </w:r>
    </w:p>
  </w:endnote>
  <w:endnote w:type="continuationSeparator" w:id="0">
    <w:p w14:paraId="2980DBA6" w14:textId="77777777" w:rsidR="00EA6049" w:rsidRDefault="00EA6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A701" w14:textId="77777777" w:rsidR="00EA6049" w:rsidRDefault="00EA6049">
      <w:pPr>
        <w:spacing w:after="0"/>
      </w:pPr>
      <w:r>
        <w:separator/>
      </w:r>
    </w:p>
  </w:footnote>
  <w:footnote w:type="continuationSeparator" w:id="0">
    <w:p w14:paraId="48A1E3DB" w14:textId="77777777" w:rsidR="00EA6049" w:rsidRDefault="00EA60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23085635">
    <w:abstractNumId w:val="1"/>
  </w:num>
  <w:num w:numId="2" w16cid:durableId="1654488648">
    <w:abstractNumId w:val="4"/>
  </w:num>
  <w:num w:numId="3" w16cid:durableId="1582712166">
    <w:abstractNumId w:val="5"/>
  </w:num>
  <w:num w:numId="4" w16cid:durableId="899174717">
    <w:abstractNumId w:val="2"/>
  </w:num>
  <w:num w:numId="5" w16cid:durableId="471141786">
    <w:abstractNumId w:val="0"/>
  </w:num>
  <w:num w:numId="6" w16cid:durableId="1417677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7222FE"/>
    <w:rsid w:val="00850B6E"/>
    <w:rsid w:val="00AA1D8D"/>
    <w:rsid w:val="00B47730"/>
    <w:rsid w:val="00CB0664"/>
    <w:rsid w:val="00EA6049"/>
    <w:rsid w:val="00FC693F"/>
    <w:rsid w:val="2A092832"/>
    <w:rsid w:val="397D1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197FA"/>
  <w14:defaultImageDpi w14:val="300"/>
  <w15:docId w15:val="{EA1B94E8-8BA2-4803-AD8A-89293969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0AD3E14E128C4B2D9E333837F01CFF42</vt:lpwstr>
  </property>
</Properties>
</file>