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D27C" w14:textId="77777777" w:rsidR="003A41E5" w:rsidRDefault="00000000">
      <w:pPr>
        <w:rPr>
          <w:lang w:eastAsia="zh-CN"/>
        </w:rPr>
      </w:pPr>
      <w:r>
        <w:rPr>
          <w:lang w:eastAsia="zh-CN"/>
        </w:rPr>
        <w:t>第四节经营情况讨论与分析一、概述2016年是中国新一轮改革的攻坚之年，在经济增速持续放缓的环境下，公司在完成重大资产重组后的第一年，迎来了机遇也迎来了前所未有的挑战。企业互联网服务产业正值朝阳，</w:t>
      </w:r>
      <w:r w:rsidRPr="00D836D1">
        <w:rPr>
          <w:lang w:eastAsia="zh-CN"/>
        </w:rPr>
        <w:t>作为企业发展的新引擎，为企业实现扭亏做出了贡献，给企业发展带来了广阔空间。我国政府在面对错综复杂的国内外形势下，全面推动改革，推动创业创新。国家提出的供给侧改革，包括提升现有企业、新增企业，尤其是小</w:t>
      </w:r>
      <w:proofErr w:type="gramStart"/>
      <w:r w:rsidRPr="00D836D1">
        <w:rPr>
          <w:lang w:eastAsia="zh-CN"/>
        </w:rPr>
        <w:t>微企业</w:t>
      </w:r>
      <w:proofErr w:type="gramEnd"/>
      <w:r w:rsidRPr="00D836D1">
        <w:rPr>
          <w:lang w:eastAsia="zh-CN"/>
        </w:rPr>
        <w:t>的活力和效能。国家电</w:t>
      </w:r>
      <w:r>
        <w:rPr>
          <w:lang w:eastAsia="zh-CN"/>
        </w:rPr>
        <w:t>子商务十三五规划出台，要求</w:t>
      </w:r>
      <w:r>
        <w:rPr>
          <w:highlight w:val="red"/>
          <w:lang w:eastAsia="zh-CN"/>
        </w:rPr>
        <w:t>电子商务</w:t>
      </w:r>
      <w:r>
        <w:rPr>
          <w:lang w:eastAsia="zh-CN"/>
        </w:rPr>
        <w:t>全面融入、覆盖国民经济和社会发展各领域，成为经济增长和新旧动能转换的关键动力；同时，确立了到2020年</w:t>
      </w:r>
      <w:r>
        <w:rPr>
          <w:highlight w:val="red"/>
          <w:lang w:eastAsia="zh-CN"/>
        </w:rPr>
        <w:t>电子商务</w:t>
      </w:r>
      <w:r>
        <w:rPr>
          <w:lang w:eastAsia="zh-CN"/>
        </w:rPr>
        <w:t>交易额40</w:t>
      </w:r>
      <w:proofErr w:type="gramStart"/>
      <w:r>
        <w:rPr>
          <w:lang w:eastAsia="zh-CN"/>
        </w:rPr>
        <w:t>万亿</w:t>
      </w:r>
      <w:proofErr w:type="gramEnd"/>
      <w:r>
        <w:rPr>
          <w:lang w:eastAsia="zh-CN"/>
        </w:rPr>
        <w:t>元、网上零售总额10</w:t>
      </w:r>
      <w:proofErr w:type="gramStart"/>
      <w:r>
        <w:rPr>
          <w:lang w:eastAsia="zh-CN"/>
        </w:rPr>
        <w:t>万亿</w:t>
      </w:r>
      <w:proofErr w:type="gramEnd"/>
      <w:r>
        <w:rPr>
          <w:lang w:eastAsia="zh-CN"/>
        </w:rPr>
        <w:t>元、相关从业者5000万人的三大发展指标，描绘了一幅互联网与产业充</w:t>
      </w:r>
      <w:r w:rsidRPr="00D836D1">
        <w:rPr>
          <w:lang w:eastAsia="zh-CN"/>
        </w:rPr>
        <w:t>分融合的新经济结构模式下的宏伟</w:t>
      </w:r>
      <w:r>
        <w:rPr>
          <w:lang w:eastAsia="zh-CN"/>
        </w:rPr>
        <w:t>蓝图。</w:t>
      </w:r>
      <w:r>
        <w:rPr>
          <w:highlight w:val="red"/>
          <w:lang w:eastAsia="zh-CN"/>
        </w:rPr>
        <w:t>企业互联网服务</w:t>
      </w:r>
      <w:r>
        <w:rPr>
          <w:lang w:eastAsia="zh-CN"/>
        </w:rPr>
        <w:t>业务正是解决千万企业发展所需，通过提供最大范围资源共享和互动，提供全生命周期服务产品，与国家政策及发展所需高度契合。对于深耕于此领域的神州易桥，未来五年是实现快速发展的重要契机。2016年商事制度改革持续发力，全国市场准入环境持续优化，有力促</w:t>
      </w:r>
      <w:r w:rsidRPr="00D836D1">
        <w:rPr>
          <w:lang w:eastAsia="zh-CN"/>
        </w:rPr>
        <w:t>进了大众创业、万众创新。据统计，截至2016年底，全国实有各类市场主体8,705.4万户，全年新设市场主体1,651.3万户，比上一年增长11.6%。新登记企业保持较快增长势头，全年新登记企业552.8万户，平均每天新登记企业达1.51万户。小</w:t>
      </w:r>
      <w:proofErr w:type="gramStart"/>
      <w:r w:rsidRPr="00D836D1">
        <w:rPr>
          <w:lang w:eastAsia="zh-CN"/>
        </w:rPr>
        <w:t>微企业</w:t>
      </w:r>
      <w:proofErr w:type="gramEnd"/>
      <w:r w:rsidRPr="00D836D1">
        <w:rPr>
          <w:lang w:eastAsia="zh-CN"/>
        </w:rPr>
        <w:t>在生存和发展中对企业服务的需求显现出规模性和多样性。中国企业目前都在思考自身的转型和创新，在网络技术及科技高速发达的支持下，各行各业都处于竞争加剧、加速淘汰、升级换代的通道中，同时又在新一轮国家改革的政策扶持中获得发展机会。国家和企业对企业服务的需求愈发明显，对企业服务也从多个维度提出更高的要求。2016年也是企业服务行业的破土元年，目前行业现状：1、2016年在政策和资本的助推下，市场规模增长加快，企业注册数量全年保持两位数增长，市场需求快速增加。2、行业内平台整合模式崭露头角，多以技术服务形式，对基础代理记账业务展开整合，但因其技术服务特点，平台间差异化小，服务的广度和深度有限，聚合效应尚未显现。3、业内各分支领域发展良莠不齐，且各分支领域间互动乏力，没有联动性，没有形成完整</w:t>
      </w:r>
      <w:r>
        <w:rPr>
          <w:lang w:eastAsia="zh-CN"/>
        </w:rPr>
        <w:t>的链条。服务覆盖区域窄，业务单一、服务能力差，用户体验满意度低。4、业内没有领军品牌引领，对行业发展形成了制约。由于普遍规模小，操作方式传统，不懂管理等现实问题，行业无法形成合力。5、行业法律法规仍有待完善，各地执行标准不一，操作不规范，无序竞争等问题普遍存在。在当前市场情况下，中国的企业服务市场急需领军者出现，引领行业高速、高效、健康发展，以适应市场及国家发展需求。公司作为行业内为数不多的上市企业，有责任、有能力、有义务承担起此重任。公司主要以“连锁化”和“互联网化”的</w:t>
      </w:r>
      <w:r w:rsidRPr="00D836D1">
        <w:rPr>
          <w:highlight w:val="red"/>
          <w:lang w:eastAsia="zh-CN"/>
        </w:rPr>
        <w:t>O2O</w:t>
      </w:r>
      <w:r>
        <w:rPr>
          <w:lang w:eastAsia="zh-CN"/>
        </w:rPr>
        <w:t>模式为中小</w:t>
      </w:r>
      <w:proofErr w:type="gramStart"/>
      <w:r>
        <w:rPr>
          <w:lang w:eastAsia="zh-CN"/>
        </w:rPr>
        <w:t>微企业</w:t>
      </w:r>
      <w:proofErr w:type="gramEnd"/>
      <w:r>
        <w:rPr>
          <w:lang w:eastAsia="zh-CN"/>
        </w:rPr>
        <w:t>提供全程孵</w:t>
      </w:r>
      <w:r w:rsidRPr="00D836D1">
        <w:rPr>
          <w:lang w:eastAsia="zh-CN"/>
        </w:rPr>
        <w:t>化、一站式综合服务。公司目前正在推进“百城千店”计划，将用三年的时间在国内建设5000个企业服务中心，对企业形成贴身服务能力覆盖，提供从公司注册、财税、投融资等多项服</w:t>
      </w:r>
      <w:r>
        <w:rPr>
          <w:lang w:eastAsia="zh-CN"/>
        </w:rPr>
        <w:t>务。同时充分</w:t>
      </w:r>
      <w:proofErr w:type="gramStart"/>
      <w:r>
        <w:rPr>
          <w:lang w:eastAsia="zh-CN"/>
        </w:rPr>
        <w:t>发挥线</w:t>
      </w:r>
      <w:proofErr w:type="gramEnd"/>
      <w:r>
        <w:rPr>
          <w:lang w:eastAsia="zh-CN"/>
        </w:rPr>
        <w:t>上云端平台的协同共享功能，形成“线上+线下”的</w:t>
      </w:r>
      <w:r>
        <w:rPr>
          <w:highlight w:val="red"/>
          <w:lang w:eastAsia="zh-CN"/>
        </w:rPr>
        <w:t>企业大数据</w:t>
      </w:r>
      <w:r>
        <w:rPr>
          <w:lang w:eastAsia="zh-CN"/>
        </w:rPr>
        <w:t>生态体系。（一）2016年度工作概述2016年度，公司进行了重大资产重组，实现了由传统的</w:t>
      </w:r>
      <w:r>
        <w:rPr>
          <w:highlight w:val="red"/>
          <w:lang w:eastAsia="zh-CN"/>
        </w:rPr>
        <w:t>医药</w:t>
      </w:r>
      <w:r w:rsidRPr="00D836D1">
        <w:rPr>
          <w:lang w:eastAsia="zh-CN"/>
        </w:rPr>
        <w:t>制造业转</w:t>
      </w:r>
      <w:r>
        <w:rPr>
          <w:lang w:eastAsia="zh-CN"/>
        </w:rPr>
        <w:t>变成</w:t>
      </w:r>
      <w:r w:rsidRPr="00D836D1">
        <w:rPr>
          <w:lang w:eastAsia="zh-CN"/>
        </w:rPr>
        <w:t>为“企业互联网服务业务为主</w:t>
      </w:r>
      <w:r>
        <w:rPr>
          <w:lang w:eastAsia="zh-CN"/>
        </w:rPr>
        <w:t>导，</w:t>
      </w:r>
      <w:r>
        <w:rPr>
          <w:highlight w:val="red"/>
          <w:lang w:eastAsia="zh-CN"/>
        </w:rPr>
        <w:t>制造</w:t>
      </w:r>
      <w:r>
        <w:rPr>
          <w:lang w:eastAsia="zh-CN"/>
        </w:rPr>
        <w:t>业务为支撑”的双主业发展模式；发行后公司总股本增至765,799,353股；实现营业收入41,185.77万元，较去年同期增长53.16%；主营业务实现营业收入40,979.10万元，较去年同期增长53.47%；其中新增企业互联网服务业务主营业务收入为17,148.02万元，制造业主营业务收入为23,831.08万元，较去年同期下降10.75%。全年实现净利润4,117.62</w:t>
      </w:r>
      <w:r>
        <w:rPr>
          <w:lang w:eastAsia="zh-CN"/>
        </w:rPr>
        <w:lastRenderedPageBreak/>
        <w:t>万元，其中归属于上市公</w:t>
      </w:r>
      <w:r w:rsidRPr="00D836D1">
        <w:rPr>
          <w:lang w:eastAsia="zh-CN"/>
        </w:rPr>
        <w:t>司股东的净利润4,581.83万元。实现每股收益0.0726元。</w:t>
      </w:r>
      <w:proofErr w:type="gramStart"/>
      <w:r w:rsidRPr="00D836D1">
        <w:rPr>
          <w:lang w:eastAsia="zh-CN"/>
        </w:rPr>
        <w:t>易桥财税</w:t>
      </w:r>
      <w:proofErr w:type="gramEnd"/>
      <w:r w:rsidRPr="00D836D1">
        <w:rPr>
          <w:lang w:eastAsia="zh-CN"/>
        </w:rPr>
        <w:t>科技以“财税大管家”为核心的财税综合服务平台累计用户数量、付费用户数量及年均ARPU情况如下：注：1、年均ARPU值的计算口径为企业综合服务收入中的周期性企业服务收入除以</w:t>
      </w:r>
      <w:proofErr w:type="gramStart"/>
      <w:r w:rsidRPr="00D836D1">
        <w:rPr>
          <w:lang w:eastAsia="zh-CN"/>
        </w:rPr>
        <w:t>以</w:t>
      </w:r>
      <w:proofErr w:type="gramEnd"/>
      <w:r w:rsidRPr="00D836D1">
        <w:rPr>
          <w:lang w:eastAsia="zh-CN"/>
        </w:rPr>
        <w:t>财税大管家为核心，包括办税通及发票管家在内的三类付费用户计算得出；2、2015年1-9月ARPU值未折算成全年，折算成全年的ARPU值为957.30元。（二）2017年度工作计划公司的战略导向是“圈地、囤人、赋能”，以企业价值原点为核心，整合多方优质资源，通过区块链共振、价值链跃进和优秀联合创始人强强联手，冲破现有行业边界，打造企业服务行业新生态格局。用“千店协同、跨越空间、万人服务、分享时间”的高标准服务助力企业成长，致力于落实“双创、四众”等国家战略，做企业的成长土壤，孵化中国未来的价值森林。2017年，公司计划实现营业收入50,000万元，在2016年的成果基础上，加速全国范围布局，深化服务体系，品牌建设，也将放眼全球企业服务市场，联通中外资源布局。充分挖掘资本、技术、资源凝聚等优势，具体部署：1、积极抓住政策机会，与政府、相关部委充分合作，助力国家政策的执行</w:t>
      </w:r>
      <w:r>
        <w:rPr>
          <w:lang w:eastAsia="zh-CN"/>
        </w:rPr>
        <w:t>，经济的发展。2、通过内外</w:t>
      </w:r>
      <w:r>
        <w:rPr>
          <w:highlight w:val="red"/>
          <w:lang w:eastAsia="zh-CN"/>
        </w:rPr>
        <w:t>孵化</w:t>
      </w:r>
      <w:r>
        <w:rPr>
          <w:lang w:eastAsia="zh-CN"/>
        </w:rPr>
        <w:t>、</w:t>
      </w:r>
      <w:r>
        <w:rPr>
          <w:highlight w:val="red"/>
          <w:lang w:eastAsia="zh-CN"/>
        </w:rPr>
        <w:t>合作</w:t>
      </w:r>
      <w:r>
        <w:rPr>
          <w:lang w:eastAsia="zh-CN"/>
        </w:rPr>
        <w:t>、</w:t>
      </w:r>
      <w:r>
        <w:rPr>
          <w:highlight w:val="red"/>
          <w:lang w:eastAsia="zh-CN"/>
        </w:rPr>
        <w:t>收购</w:t>
      </w:r>
      <w:r>
        <w:rPr>
          <w:lang w:eastAsia="zh-CN"/>
        </w:rPr>
        <w:t>等模式，拓展</w:t>
      </w:r>
      <w:r>
        <w:rPr>
          <w:highlight w:val="red"/>
          <w:lang w:eastAsia="zh-CN"/>
        </w:rPr>
        <w:t>产品线</w:t>
      </w:r>
      <w:r>
        <w:rPr>
          <w:lang w:eastAsia="zh-CN"/>
        </w:rPr>
        <w:t>及</w:t>
      </w:r>
      <w:r>
        <w:rPr>
          <w:highlight w:val="red"/>
          <w:lang w:eastAsia="zh-CN"/>
        </w:rPr>
        <w:t>市场</w:t>
      </w:r>
      <w:r>
        <w:rPr>
          <w:lang w:eastAsia="zh-CN"/>
        </w:rPr>
        <w:t>，高效打造包括</w:t>
      </w:r>
      <w:r>
        <w:rPr>
          <w:highlight w:val="red"/>
          <w:lang w:eastAsia="zh-CN"/>
        </w:rPr>
        <w:t>财税一体化</w:t>
      </w:r>
      <w:r>
        <w:rPr>
          <w:lang w:eastAsia="zh-CN"/>
        </w:rPr>
        <w:t>和</w:t>
      </w:r>
      <w:r>
        <w:rPr>
          <w:highlight w:val="red"/>
          <w:lang w:eastAsia="zh-CN"/>
        </w:rPr>
        <w:t>金融大数据</w:t>
      </w:r>
      <w:r>
        <w:rPr>
          <w:lang w:eastAsia="zh-CN"/>
        </w:rPr>
        <w:t>在内的</w:t>
      </w:r>
      <w:r w:rsidRPr="00D836D1">
        <w:rPr>
          <w:lang w:eastAsia="zh-CN"/>
        </w:rPr>
        <w:t>全产业</w:t>
      </w:r>
      <w:proofErr w:type="gramStart"/>
      <w:r w:rsidRPr="00D836D1">
        <w:rPr>
          <w:lang w:eastAsia="zh-CN"/>
        </w:rPr>
        <w:t>链产品</w:t>
      </w:r>
      <w:proofErr w:type="gramEnd"/>
      <w:r w:rsidRPr="00D836D1">
        <w:rPr>
          <w:lang w:eastAsia="zh-CN"/>
        </w:rPr>
        <w:t>体系，拓展全生命周期的标准化服务，形成互生互动，相互赋能的良性生态环境。3、通过资本、资源的全新整合，打造企业服务领域最强大“军团”，迅速扩张占领市场，形成多维渠道，合纵连横，纵横捭阖。4、建立区域平台体系，通过区域平台的专业、准确、高效服务，解决管理、精准推广和地域差异问题。5、通过线下门店、网络、传媒等渠道，系统规划，精准投放，打造企业服务第一品牌。6、2017年公司的传统制造业将稳步经营、积极调整、控制盈亏。二、主营</w:t>
      </w:r>
      <w:r>
        <w:rPr>
          <w:lang w:eastAsia="zh-CN"/>
        </w:rPr>
        <w:t>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企业互联网服务收入主要包括企业综合服务、增值服务、行业应用与开发（包括企业财税综合解决方案及技术开发服务），具体构成如下：企业互联网服务成本构成主要包括了人工成本、外包服务成本、办公辅材的采购成本及其他费用，具体如下：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w:t>
      </w:r>
      <w:proofErr w:type="gramStart"/>
      <w:r>
        <w:rPr>
          <w:lang w:eastAsia="zh-CN"/>
        </w:rPr>
        <w:t>不适用明诺胶囊</w:t>
      </w:r>
      <w:proofErr w:type="gramEnd"/>
      <w:r>
        <w:rPr>
          <w:lang w:eastAsia="zh-CN"/>
        </w:rPr>
        <w:t>产量增加主要是上期暂停的8条生产线因订单增加，得以恢复生产。（4）公司已签订的重大销售合同截至本报告期的履行情况□适用√不适用（5）营业成本构成行业和产品分类单位：元单位：</w:t>
      </w:r>
      <w:proofErr w:type="gramStart"/>
      <w:r>
        <w:rPr>
          <w:lang w:eastAsia="zh-CN"/>
        </w:rPr>
        <w:t>元说明</w:t>
      </w:r>
      <w:proofErr w:type="gramEnd"/>
      <w:r>
        <w:rPr>
          <w:lang w:eastAsia="zh-CN"/>
        </w:rPr>
        <w:t>不适用（6）报告期内合并范围是否发生变动√是□</w:t>
      </w:r>
      <w:proofErr w:type="gramStart"/>
      <w:r>
        <w:rPr>
          <w:lang w:eastAsia="zh-CN"/>
        </w:rPr>
        <w:t>否报告</w:t>
      </w:r>
      <w:proofErr w:type="gramEnd"/>
      <w:r>
        <w:rPr>
          <w:lang w:eastAsia="zh-CN"/>
        </w:rPr>
        <w:t>期内，公司完成了发行股份</w:t>
      </w:r>
      <w:proofErr w:type="gramStart"/>
      <w:r>
        <w:rPr>
          <w:lang w:eastAsia="zh-CN"/>
        </w:rPr>
        <w:t>购买易桥财税</w:t>
      </w:r>
      <w:proofErr w:type="gramEnd"/>
      <w:r>
        <w:rPr>
          <w:lang w:eastAsia="zh-CN"/>
        </w:rPr>
        <w:t>科技资产事宜，通过发行股份的方式购买彭聪等3名交易对方合计持有的易桥财税科技100%股权；同时，公司利用募集资金增资企业管家（北京）科技服务有限公司，使合并范围增加2户。而本期公司将全资子公司青海明杏生物工程有限公司100%股权转让，使合并范围减少1户。（7）公司报告期内业务、产品或服务发生重大变化或调整有关情况√适用□不适用报告期内，公司完成了发行股份购买资产事宜，实现了公司由传统的医药制造业转变成为“企业互联网服务业务为主导，制造业务为支撑”的双主业发展模式。（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w:t>
      </w:r>
      <w:r>
        <w:rPr>
          <w:lang w:eastAsia="zh-CN"/>
        </w:rPr>
        <w:lastRenderedPageBreak/>
        <w:t>前5名供应商资料主要供应</w:t>
      </w:r>
      <w:proofErr w:type="gramStart"/>
      <w:r>
        <w:rPr>
          <w:lang w:eastAsia="zh-CN"/>
        </w:rPr>
        <w:t>商其他</w:t>
      </w:r>
      <w:proofErr w:type="gramEnd"/>
      <w:r>
        <w:rPr>
          <w:lang w:eastAsia="zh-CN"/>
        </w:rPr>
        <w:t>情况说明□适用√不适用3、费用单位：元4、研发投入√适用□不适用公司在研发投入方面以自主研发和外包相结合，重点投入智慧企业孵化云平台和企业大数据中心平台建设，致力服务于中小</w:t>
      </w:r>
      <w:proofErr w:type="gramStart"/>
      <w:r>
        <w:rPr>
          <w:lang w:eastAsia="zh-CN"/>
        </w:rPr>
        <w:t>微企业</w:t>
      </w:r>
      <w:proofErr w:type="gramEnd"/>
      <w:r>
        <w:rPr>
          <w:lang w:eastAsia="zh-CN"/>
        </w:rPr>
        <w:t>全生命周期的孵化；该投入可进一步落实公司的发展战略，服务于大量企业用户，对持续提高公司的盈利能力，树立公司在企业互联网和现代服务业市场领先的行业地位，具有良好的经济效益和社会效益。公司研发投入情况研发投入总额占营业收入的比重较上年发生显着变化的原因√适用□不适用公司</w:t>
      </w:r>
      <w:proofErr w:type="gramStart"/>
      <w:r>
        <w:rPr>
          <w:lang w:eastAsia="zh-CN"/>
        </w:rPr>
        <w:t>原传统</w:t>
      </w:r>
      <w:proofErr w:type="gramEnd"/>
      <w:r>
        <w:rPr>
          <w:lang w:eastAsia="zh-CN"/>
        </w:rPr>
        <w:t>产业受市场</w:t>
      </w:r>
      <w:proofErr w:type="gramStart"/>
      <w:r>
        <w:rPr>
          <w:lang w:eastAsia="zh-CN"/>
        </w:rPr>
        <w:t>增速放</w:t>
      </w:r>
      <w:proofErr w:type="gramEnd"/>
      <w:r>
        <w:rPr>
          <w:lang w:eastAsia="zh-CN"/>
        </w:rPr>
        <w:t>缓和内部调整改造影响，近年均未有大的研发投入。而本期重大资产重组完成后，新并入的子公司易桥财税科技及利用募集资金增资的企业管家公司是互联网服务企业，在项目研发上投入增加。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数据同比发生重大变动的主要影响因素说明√适用□不适用1、经营活动现金流入与流出变动主要是因为本期合并范围变动新增2户子公司使</w:t>
      </w:r>
      <w:proofErr w:type="gramStart"/>
      <w:r>
        <w:rPr>
          <w:lang w:eastAsia="zh-CN"/>
        </w:rPr>
        <w:t>本期较</w:t>
      </w:r>
      <w:proofErr w:type="gramEnd"/>
      <w:r>
        <w:rPr>
          <w:lang w:eastAsia="zh-CN"/>
        </w:rPr>
        <w:t>上期增加。2、投资活动现金流入较上期增加主要是本期合并易桥财税科技增加其货币资金和理财产品赎回。3、投资活动现金流出较上期增加主要是本期合并易桥财税科技和企业管家公司其资本化支出和购买理财产品支付增加。4、投资活动产生的现金流量净额减少主要是上期子公司青海宁达公司减持其他上市公司股票流入增加所致。5、筹资活动现金流入增加主要是本期发行股份募集资金完成增加。6、筹资活动现金流出减少主要是子公司上期偿还了较多的银行借款及利息。7、筹资活动产生的现金流量净额较上年增加主要是本期发行股份募集资金完成增加。8、现金及现金等价物净增加额增加主要是本期发行股份募集资金完成增加。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本公司之子公司金箭明胶公司因诉讼事项被冻结银行存款286.81万元，被查封固定资产及存货分别为2,964.29万元和4.07万元。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3）持有其他上市公司股权情况的说明√适用□不适用5、募集资金使用情况√适用□不适用（1）募集资金总体使用情况√适用□不适用单位：万元；》，在不影响募集资金投资项目建设和募集资金正常使用的前提下，公司使用闲置募集资金人民币12,000万元暂时补充流动资金，使用期限为自董事会审议通过之日起不超过12个月。2016年12月22日，经公司第七届董事会2016年第十三次临时会议、第七届监事会2016年第十次临时会议审议通过，公司及子公司企业管家在保障募集资金投资项目顺利进行和募集资金安全的前提下，使用部分暂时闲置募集资金分别为不超过人民币15,000万元，总计不超过人民币30,000万元用于购买银行保本型理财产品。在上述额度内，资金可以滚动使用。注：截止2016年12月31日，公司募集资金应剩余余额和募集资金专户存储的余额差异172.97万元，主要原因系公司将募集资金由募集资金专户转入公司基本户，在基本户中支付</w:t>
      </w:r>
      <w:proofErr w:type="gramStart"/>
      <w:r>
        <w:rPr>
          <w:lang w:eastAsia="zh-CN"/>
        </w:rPr>
        <w:t>募投项目</w:t>
      </w:r>
      <w:proofErr w:type="gramEnd"/>
      <w:r>
        <w:rPr>
          <w:lang w:eastAsia="zh-CN"/>
        </w:rPr>
        <w:t>资金。截止2017年2月26日，该部分资金已全部转回。（2）募集资金承诺项目情况√适用□不适用单位：万元，（3）募集资</w:t>
      </w:r>
      <w:r>
        <w:rPr>
          <w:lang w:eastAsia="zh-CN"/>
        </w:rPr>
        <w:lastRenderedPageBreak/>
        <w:t>金变更项目情况√适用□不适用单位：万元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期内取得和处置子公司的情况√适用□不适用主要控股参股公司情况说明八、公司控制的结构化主体情况□适用√不适用九、公司未来发展的展望（一）公司整体发展目标公司的战略</w:t>
      </w:r>
      <w:r w:rsidRPr="00D836D1">
        <w:rPr>
          <w:lang w:eastAsia="zh-CN"/>
        </w:rPr>
        <w:t>导向是“圈地、囤人、赋能”，以企业价值原点为核心，整合多方优质资源，通过区块链共振、价值链跃进和优秀联合创始人强强联手，冲破现有行业边界，打造企业服务行业新生态格局。用“千店协同、跨越空间、万人服务、分享时间”的高标准服务助力企业成长，致力于落实“双创、四众”等国家战略，做企业的成长土壤，孵化中国未来的价值森林。2017年，公司计划实现营业收</w:t>
      </w:r>
      <w:r>
        <w:rPr>
          <w:lang w:eastAsia="zh-CN"/>
        </w:rPr>
        <w:t>入50,000万元，在2016年的成果基础上，加速全国范围布局，深化服务体系，品牌建设，也将放眼全球企业服务市场，联通中外资源布局。（二）实施发展目标面临的主要困难1、进一步拓宽融资渠道实施未来发展计划需要投入增量资金，若单纯依靠企业自身利润积累，难以应对日益激烈的市场竞争，很可能会错失发展机会；若完全依靠银行贷款，会加大公司的财务费用，甚至会造成资金周转困难，因此交易完成后上市公司必须积极开拓多种融资渠道，以满足未来业务发展的资金需求，促进业务持续快速</w:t>
      </w:r>
      <w:r w:rsidRPr="00D836D1">
        <w:rPr>
          <w:lang w:eastAsia="zh-CN"/>
        </w:rPr>
        <w:t>发展。2、进一步提升内部管理随着上市公司整体发展战略的深入推进及业务规模的持续扩大，未来上市公司在战略规划、机制建立、资源整合、组织配置、运营管理、资金管理、内部控制管理等方面都将面临巨大挑战。特别是迅速扩大经营规模以后，公司的组织结构和管理体系需进一步提升，适应公司快速发展的需要。3、进一步加强人才培养专业人才对上市公司未来业务的开展至关重要，未来业务规模的不断扩大对上市公司人员的数量、知识结构、专业技能、开发能力、运营经验等提出了更高的要求。为了与未来发展需求相匹配，需进一步加强人才培养，通过引进、内部培养和激励专业人才等手段，建立公司人才梯队，为公司可持续发展提供人力支持。（三</w:t>
      </w:r>
      <w:r>
        <w:rPr>
          <w:lang w:eastAsia="zh-CN"/>
        </w:rPr>
        <w:t>）可能面对的风险财税服务行业竞争加剧；顺利办门店拓展不及预期；</w:t>
      </w:r>
      <w:r>
        <w:rPr>
          <w:highlight w:val="red"/>
          <w:lang w:eastAsia="zh-CN"/>
        </w:rPr>
        <w:t>传统制造</w:t>
      </w:r>
      <w:r>
        <w:rPr>
          <w:lang w:eastAsia="zh-CN"/>
        </w:rPr>
        <w:t>业务持续亏损。（四）实现发展目标的方法或途径为确保公司整体发展目标的顺利实施，公司将深化“</w:t>
      </w:r>
      <w:r>
        <w:rPr>
          <w:highlight w:val="red"/>
          <w:lang w:eastAsia="zh-CN"/>
        </w:rPr>
        <w:t>企业互联网</w:t>
      </w:r>
      <w:r w:rsidRPr="00D836D1">
        <w:rPr>
          <w:lang w:eastAsia="zh-CN"/>
        </w:rPr>
        <w:t>服务</w:t>
      </w:r>
      <w:r>
        <w:rPr>
          <w:lang w:eastAsia="zh-CN"/>
        </w:rPr>
        <w:t>业务为主导，</w:t>
      </w:r>
      <w:r>
        <w:rPr>
          <w:highlight w:val="red"/>
          <w:lang w:eastAsia="zh-CN"/>
        </w:rPr>
        <w:t>制造</w:t>
      </w:r>
      <w:r>
        <w:rPr>
          <w:lang w:eastAsia="zh-CN"/>
        </w:rPr>
        <w:t>业务为支撑”的双主业发展模式，进一步强化对企业互联网服务行业新的业务机会和增长点的捕捉和把握能力，进一步完善法人治理结构，促进管理升级和体制创新，重点</w:t>
      </w:r>
      <w:r w:rsidRPr="00D836D1">
        <w:rPr>
          <w:lang w:eastAsia="zh-CN"/>
        </w:rPr>
        <w:t>实施人才战略、科学管理战略、资本战略，内部培养和外部吸收优秀的管理、技术及运营人才，建立起能够适应快速发展的企业互联</w:t>
      </w:r>
      <w:r>
        <w:rPr>
          <w:lang w:eastAsia="zh-CN"/>
        </w:rPr>
        <w:t>网服务行业需要的人才资源，并进一步拓展公司融资渠道，提高核心竞争力。具体部署：1、积极抓住政策机会，与政府、相关部委充分合作，助力国家政策的执行，经济的发展。2、通过内外孵化、合作、收购等模式，拓展产品线及市场，高效打造包括</w:t>
      </w:r>
      <w:r>
        <w:rPr>
          <w:highlight w:val="red"/>
          <w:lang w:eastAsia="zh-CN"/>
        </w:rPr>
        <w:t>财税一体化</w:t>
      </w:r>
      <w:r>
        <w:rPr>
          <w:lang w:eastAsia="zh-CN"/>
        </w:rPr>
        <w:t>和</w:t>
      </w:r>
      <w:r>
        <w:rPr>
          <w:highlight w:val="red"/>
          <w:lang w:eastAsia="zh-CN"/>
        </w:rPr>
        <w:t>金融大数据</w:t>
      </w:r>
      <w:r>
        <w:rPr>
          <w:lang w:eastAsia="zh-CN"/>
        </w:rPr>
        <w:t>在内的全产业</w:t>
      </w:r>
      <w:proofErr w:type="gramStart"/>
      <w:r>
        <w:rPr>
          <w:lang w:eastAsia="zh-CN"/>
        </w:rPr>
        <w:t>链产品</w:t>
      </w:r>
      <w:proofErr w:type="gramEnd"/>
      <w:r>
        <w:rPr>
          <w:lang w:eastAsia="zh-CN"/>
        </w:rPr>
        <w:t>体系，拓展全生命周期的标准化服务，形成互生互动，相互赋能的良性生态环境。3、通过资本、资源的全新整合，打造企业服务领域最强大“军团”，迅速扩张占领</w:t>
      </w:r>
      <w:r w:rsidRPr="00D836D1">
        <w:rPr>
          <w:lang w:eastAsia="zh-CN"/>
        </w:rPr>
        <w:t>市场，形成多维渠道，合纵连横，纵横捭阖。4、建立区域平台体系，通过区域平台的专业、准确、高效服务，解决管理、精准推广和地域差异问题。5、通过线下门店、网络、传媒等渠道，系统规划，精准投放，打造企业服务第一品牌。6、2017年公司的传统制造业将稳步经营、积极调整、控制盈亏。十、接待调研、沟通、采访等活动情况1、报告期内接待调研、沟通、采访等活动登记表√适用□不适用</w:t>
      </w:r>
    </w:p>
    <w:p w14:paraId="46CB9D89" w14:textId="77777777" w:rsidR="003A41E5" w:rsidRDefault="00000000">
      <w:pPr>
        <w:rPr>
          <w:lang w:eastAsia="zh-CN"/>
        </w:rPr>
      </w:pPr>
      <w:r>
        <w:rPr>
          <w:rFonts w:hint="eastAsia"/>
          <w:lang w:eastAsia="zh-CN"/>
        </w:rPr>
        <w:lastRenderedPageBreak/>
        <w:t>标注数量：122</w:t>
      </w:r>
    </w:p>
    <w:sectPr w:rsidR="003A41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E17A" w14:textId="77777777" w:rsidR="000F67A5" w:rsidRDefault="000F67A5">
      <w:pPr>
        <w:spacing w:line="240" w:lineRule="auto"/>
      </w:pPr>
      <w:r>
        <w:separator/>
      </w:r>
    </w:p>
  </w:endnote>
  <w:endnote w:type="continuationSeparator" w:id="0">
    <w:p w14:paraId="699F6258" w14:textId="77777777" w:rsidR="000F67A5" w:rsidRDefault="000F6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0623" w14:textId="77777777" w:rsidR="000F67A5" w:rsidRDefault="000F67A5">
      <w:pPr>
        <w:spacing w:after="0"/>
      </w:pPr>
      <w:r>
        <w:separator/>
      </w:r>
    </w:p>
  </w:footnote>
  <w:footnote w:type="continuationSeparator" w:id="0">
    <w:p w14:paraId="6C018F97" w14:textId="77777777" w:rsidR="000F67A5" w:rsidRDefault="000F67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95913868">
    <w:abstractNumId w:val="1"/>
  </w:num>
  <w:num w:numId="2" w16cid:durableId="1503349413">
    <w:abstractNumId w:val="4"/>
  </w:num>
  <w:num w:numId="3" w16cid:durableId="146942293">
    <w:abstractNumId w:val="5"/>
  </w:num>
  <w:num w:numId="4" w16cid:durableId="167910650">
    <w:abstractNumId w:val="2"/>
  </w:num>
  <w:num w:numId="5" w16cid:durableId="1156803293">
    <w:abstractNumId w:val="0"/>
  </w:num>
  <w:num w:numId="6" w16cid:durableId="571816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0F67A5"/>
    <w:rsid w:val="0015074B"/>
    <w:rsid w:val="0029639D"/>
    <w:rsid w:val="00326F90"/>
    <w:rsid w:val="003A41E5"/>
    <w:rsid w:val="00AA1D8D"/>
    <w:rsid w:val="00B47730"/>
    <w:rsid w:val="00CB0664"/>
    <w:rsid w:val="00D836D1"/>
    <w:rsid w:val="00FC693F"/>
    <w:rsid w:val="79DD5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4B149"/>
  <w14:defaultImageDpi w14:val="300"/>
  <w15:docId w15:val="{A5486655-9054-4016-8FD7-5ACE863E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qFormat="1"/>
    <w:lsdException w:name="Medium List 2" w:uiPriority="66" w:qFormat="1"/>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qFormat="1"/>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684FDE0E02E646C3BCE6650CF58E9DD8</vt:lpwstr>
  </property>
</Properties>
</file>