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CEDE2" w14:textId="77777777" w:rsidR="00ED2E4B" w:rsidRDefault="00000000">
      <w:pPr>
        <w:rPr>
          <w:lang w:eastAsia="zh-CN"/>
        </w:rPr>
      </w:pPr>
      <w:r>
        <w:rPr>
          <w:lang w:eastAsia="zh-CN"/>
        </w:rPr>
        <w:t>第四节经营情况讨论与分析一、概述报告期内，公司主营业务领域经历了密</w:t>
      </w:r>
      <w:r w:rsidRPr="006E630D">
        <w:rPr>
          <w:lang w:eastAsia="zh-CN"/>
        </w:rPr>
        <w:t>集的产业政策调整和市场调控，《药品管理法》的修改、《疫苗管理法》的实施、医保政策的改革、药品集采的推出、“房住不炒”的一再重申，均对公司经营管理的应对、应变能力，提出了全新的挑战。公司通过内部结构优化和外部资源整合，维持了各产业领域良性发展趋势，确保了主营业务的持续快速发展，伴随公司经营规模和整体盈利能力持续扩大，各项经营指标较上年同期均有大幅度的增长。结合医药新政的贯彻，公司将合规管理渗透到药品的营销活动的各个环节中，对销售体系、销售渠道、运行机制等方面推行标准化、程序化、规范化管理，落实药品质量管理、生产工艺规范及市场运营全流程的风险管控责任，珍视品牌形象，积极维护品牌形象。为优化核心子公司股权结构，激发经营者创业积极性，报告期内，公司实施完成了收购控股子公司金赛药业29.5%股权的重大资产重组工作，使公司持有金赛药业股权的比例由70%增加至99.50%，合并报表中归属于母公司净利润得到了进一步提升，在增厚了公司业绩的同时，进一步加强了对重点子公司的管控力度，使其在业务、资产、财务、人员、机构等方面与公司整体发展实现了一致性的优化整合，增强了公司持续盈利能力。金赛药业作为核心子公司，报告期内主要产品的新患入组和用药时间均全面超额完成预定的工作目标，为公司业绩的大幅增长，做出了巨大的贡献。百克生物克服前期疫苗行业负面事件的影响，通过有效的市场运筹，在最短的时间内，稳定了终端，逐步恢复了市场份额。新产品布局方面，公司持续推动国际合作，安沃高新完成了公司注册、规划调整、土地摘牌、概念设计、土地平整、探试打桩、工棚搭建等大量前期工作，项目采用全球五大之一爱尔兰PMG公司的设计方案，计划将在2020年上半年</w:t>
      </w:r>
      <w:r>
        <w:rPr>
          <w:lang w:eastAsia="zh-CN"/>
        </w:rPr>
        <w:t>展开全面建设。报告期内，公司还顺利完成了3项国际化医药合作项目的投资。包括美国免疫唤醒公司</w:t>
      </w:r>
      <w:r>
        <w:rPr>
          <w:highlight w:val="red"/>
          <w:lang w:eastAsia="zh-CN"/>
        </w:rPr>
        <w:t>双特异性抗体</w:t>
      </w:r>
      <w:r>
        <w:rPr>
          <w:lang w:eastAsia="zh-CN"/>
        </w:rPr>
        <w:t>平台项目、美国蓝湖生物公司</w:t>
      </w:r>
      <w:r>
        <w:rPr>
          <w:highlight w:val="red"/>
          <w:lang w:eastAsia="zh-CN"/>
        </w:rPr>
        <w:t>呼吸道合胞病毒疫苗</w:t>
      </w:r>
      <w:r>
        <w:rPr>
          <w:lang w:eastAsia="zh-CN"/>
        </w:rPr>
        <w:t>项目已于在美国特拉华州完成了新合资公司的注资工作；</w:t>
      </w:r>
      <w:r>
        <w:rPr>
          <w:highlight w:val="red"/>
          <w:lang w:eastAsia="zh-CN"/>
        </w:rPr>
        <w:t>利多卡因贴片</w:t>
      </w:r>
      <w:r>
        <w:rPr>
          <w:lang w:eastAsia="zh-CN"/>
        </w:rPr>
        <w:t>项目首笔投资款也已支付到位；各项研究工作均在有序推进。2019年度，公司实现营业收入737,370.13万元，较上年同期增加37.19%；归属于上市公司股东的净利润177,500.92万元，较上年同期增加76.36%。其中制药业收入640,262.88万元，较上年同期增加34.78%；房地产业收入95,678.37万元，较上年同期增加58.04%；制药业营业利润254,789.13万元，较上年同期增加57.24%；房地产业营业利润25,399.27万元，较上年同期增加124.71%。二、主营业务分析1、概述参见“经营情况讨论与分析”中的“一、概述”相关内容。2、收入与成本（1）营业收入构成单位：元2019年2018年同比增减金额占营业收入比重金额占营业收入比重营业收入合计7,373,701,266.96100%5,374,994,708.31100%37.19%分行业制药业6,402,628,751.9586.83%4,750,302,716.9788.38%34.78%房地产956,783,739.3412.98%605,389,202.0111.26%58.04%服务业14,288,775.670.19%19,302,789.330.36%-25.98%分产品基因工程/生物类药品5,822,757,518.3478.97%4,222,755,863.2478.57%37.89%中成药579,871,233.617.86%527,546,853.739.81%9.92%房地产956,783,739.3412.98%605,389,202.0111.26%58.04%服务业14,288,775.670.19%19,302,789.330.36%-25.98%分地区华北地区816,150,234.9511.07%642,588,850.2011.96%27.01%东北地区1,443,912,354.4119.58%1,030,034,361.2319.16%40.18%华东地区</w:t>
      </w:r>
      <w:r>
        <w:rPr>
          <w:lang w:eastAsia="zh-CN"/>
        </w:rPr>
        <w:lastRenderedPageBreak/>
        <w:t>2,288,785,563.6131.04%1,727,347,663.6132.14%32.50%华南地区836,487,645.0911.34%544,484,898.9410.13%53.63%西北地区316,720,332.104.30%247,536,782.814.61%27.95%华中地区833,129,081.1011.30%523,063,452.699.73%59.28%西南地区826,100,856.3311.20%612,982,919.5411.40%34.77%国外地区12,415,199.370.17%46,955,779.290.87%-73.56%（2）占公司营业收入或营业利润10%以上的行业、产品或地区情况√适用□不适用单位：元营业收入营业成本毛利率营业收入比上年同期增减营业成本比上年同期增减毛利率比上年同期增减分行业制药业6,402,628,751.95554,977,534.6291.33%34.78%21.89%0.92%房地产956,783,739.34533,385,284.5044.25%58.04%58.21%-0.06%分产品基因工程/生物类药品5,822,757,518.34414,729,070.8692.88%37.89%24.18%0.79%中成药579,871,233.61140,248,463.7675.81%9.92%15.58%-1.19%房地产956,783,739.34533,385,284.5044.25%58.04%58.21%-0.06%分地区华北地区816,150,234.9575,583,038.9190.74%27.01%8.03%1.63%东北地区1,443,912,354.41585,767,724.5259.43%40.18%52.86%-3.37%华东地区2,288,785,563.61193,485,725.8891.55%32.50%23.42%0.63%华南地区836,487,645.0975,032,589.8191.03%53.63%42.41%0.71%西北地区316,720,332.1029,504,251.0590.68%27.95%12.19%1.30%华中地区833,129,081.1067,385,231.4591.91%59.28%36.49%1.35%西南地区826,100,856.3363,940,156.3092.26%34.77%13.98%1.41%国外地区12,415,199.371,015,348.5191.82%-73.56%-84.00%5.33%公司主营业务数据统计口径在报告期发生调整的情况下，公司最近1年按报告期末口径调整后的主营业务数据□适用√不适用（3）公司实物销售收入是否大于劳务收入√是□否行业分类项目单位2019年2018年同比增减制药业销售量元554,977,534.62455,319,232.5521.89%生产量元552,720,719.94455,016,835.0621.47%库存量元130,176,153.55132,432,968.23-1.70%房地产销售量元533,385,284.5337,130,096.9858.21%生产量元668,455,204.341,805,084.451,498.98%库存量元349,295,289.9214,225,370.163.05%相关数据同比发生变动30%以上的原因说明√适用□不适用房地产行业销售量较上年同期增加58.21%，生产量较上年同期增加1,498.98%，库存量较上年同期增加63.05%，销售量增加原因主要是本期房地产项目结算收入增加，生产量和库存量较上年同期增加主要原因是前期投入的房地产项目本报告期完工，从开发成本结转至开发产品所致。（4）公司已签订的重大销售合同截至本报告期的履行情况□适用√不适用（5）营业成本构成行业分类行业分类单位：元行业分类项目2019年2018年同比增减金额占营业成本比重金额占营业成本比重制药业直接材料218,976,621.6420.06%190,192,387.9023.75%15.13%制药业直接人工71,352,194.946.54%58,311,554.707.28%22.36%制药业制造费用264,648,718.0424.24%206,815,289.9525.83%27.96%房地产业分包成本135,392,094.3812.40%97,508,015.4112.18%38.85%房地产业基础设施成本43,052,687.093.94%22,688,037.342.83%89.76%房地产业前期成本163,590,815.4814.98%53,043,118.556.62%208.41%房地产业总包成本</w:t>
      </w:r>
      <w:r>
        <w:rPr>
          <w:lang w:eastAsia="zh-CN"/>
        </w:rPr>
        <w:lastRenderedPageBreak/>
        <w:t>149,475,253.1213.69%120,024,180.5714.99%24.54%房地产业分配景观成本41,874,434.433.84%43,866,745.115.48%-4.54%服务业直接人工0.000.00%562,040.620.07%-100.00%服务业折旧费2,312,288.690.21%2,693,012.370.34%-14.14%服务业运行维保费1,038,958.620.10%5,040,493.820.63%-79.39%说明（6）报告期内合并范围是否发生变动√是□否①本期增加子公司的情况a、本公司之子公司金赛药业于2019年10月10日成立上海赛增医疗科技有限公司，注册资本100万元，持股比例100%，本期将纳入财务报表合并范围。b、本公司之子公司华康药业于2019年10月15日成立吉林康然堂医药有限公司，注册资本2,000万元，持股比例100%，本期将纳入财务报表合并范围。②本期出售子公司股权情况2019年6月10日，华康药业第七届董事会第四次会议审议通过了《关于转让公司在吉林维泽医药连锁有限公司股权的议案》。2019年6月16日华康药业与自然人梁海侠签订《股权转让协议》，华康药业将其持有的吉林维泽医药连锁有限公司100%股权转让给梁海侠，合同签订日后吉林维泽医药连锁有限公司相关债权债务由梁海侠承担。2019年6月24日本公司收到吉林维泽医药连锁有限公司的全部股权转让款。因此本期不再将吉林维泽医药连锁有限公司纳入合并范围。③本期注销子公司情况2019年6月10日，华康药业第七届董事会第五次会议经全体董事审议表决，并经2019年度第三次临时股东大会决议表决通过，决定注销华康药业持股100.00%的长春汇康网络科技有限公司。现长春汇康网络科技有限公司已完成注销。（7）公司报告</w:t>
      </w:r>
      <w:r>
        <w:rPr>
          <w:highlight w:val="red"/>
          <w:lang w:eastAsia="zh-CN"/>
        </w:rPr>
        <w:t>期内业务</w:t>
      </w:r>
      <w:r>
        <w:rPr>
          <w:lang w:eastAsia="zh-CN"/>
        </w:rPr>
        <w:t>、产品或服务发生重大变化或调整有关情况□适用√不适用（8）主要</w:t>
      </w:r>
      <w:r w:rsidRPr="006E630D">
        <w:rPr>
          <w:lang w:eastAsia="zh-CN"/>
        </w:rPr>
        <w:t>销售客户和主要供应商情况公司主要销售客户情况前五名客户合计销售金额（元）755,982,407.49前五名客户合计销售金额占年度销售总额比例10.25%前五名客户销售额中关联方销售额占年度销售总额比例0.00%公司前5大客户资料序号客户名称销售额（元）占年度销售总额比例1第一名179,737,618.592.44%2第二名175,192,763.392.38%3第三名148,463,192.982.01%4第四名139,491,089.031.89%5第五名113,097,743.501.53%合计--755,982,407.4910.25%主要客户其他情况说明□适用√不适用公司主要供应商情况前五名供应商合计采购金额（元）93,158,220.91前五名供应商合计采购金额占年度采购总额比例12.85%前五名供应商采购额中关联方采购额占年度采购总额比例0.00%公司前5名供应商资料序号供应商名称采购额（元）占年度采购总额比例1第一名30,026,548.674.14%2第二名23,764,550.003.28%3第三名15,239,395.782.10%4第四名13,008,961.991.79%5第五名11,118,764.471.53%合计--93,158,220.9112.85%主要供应商其他情况说明□适用√不适用3、费用单位：元2019年2018年同比增减重大变动说明销售费用2,522,444,501.922,094,816,600.5920.41%管理费用458,033,454.75351,225,146.8630.41%公司规模增长使人工成本增加，以及百克生物的非控股股东授予百克生物高管和核心技术人员持有非控股股东股份，确认股份支付所致。财务费用-49,773,587.22-31,814,499.12-56.45%主要系本报告期利息收入增加所致。研发费用370,437,612.38328,064,733.7712.92%4、研发投入√适用□不适用公司始终坚持创新发展原则，紧紧围绕未来市场需求热点，进一步增强公司的持续发展能力，创造盈利增长点。研发的持续投入不仅增强了公司的核心竞争力，还通过新适应症的</w:t>
      </w:r>
      <w:r>
        <w:rPr>
          <w:lang w:eastAsia="zh-CN"/>
        </w:rPr>
        <w:t>扩展促进原有品种的稳定发展。公司研发投入情况2019年2018年变动比例研发人员数量（人）69952333.65%研发人员数量占比12.63%10.31%2.32%研发投入金额（元）</w:t>
      </w:r>
      <w:r>
        <w:rPr>
          <w:lang w:eastAsia="zh-CN"/>
        </w:rPr>
        <w:lastRenderedPageBreak/>
        <w:t>406,486,966.76396,046,209.962.64%研发投入占营业收入比例5.51%7.37%-1.86%研发投入资本化的金额（元）76,238,993.9767,981,476.1912.15%资本化研发投入占研发投入的比例18.76%17.17%1.59%研发投入总额占营业收入的比重较上年发生显着变化的原因□适用√不适用研发投入资本化率大幅变动的原因及其合理性说明□适用√不适用5、现金流单位：元项目2019年2018年同比增减经营活动现金流入小计7,475,534,423.606,211,034,039.7420.36%经营活动现金流出小计5,540,863,738.525,326,967,466.794.02%经营活动产生的现金流量净额1,934,670,685.08884,066,572.95118.84%投资活动现金流入小计1,953,581,699.713,572,061,677.33-45.31%投资活动现金流出小计2,763,290,741.443,825,576,514.92-27.77%投资活动产生的现金流量净额-809,709,041.73-253,514,837.59-219.39%筹资活动现金流入小计1,381,464,517.64255,000,000.00441.75%筹资活动现金流出小计677,441,279.87413,919,263.6763.67%筹资活动产生的现金流量净额704,023,237.77-158,919,263.67543.01%现金及现金等价物净增加额1,829,125,464.97473,148,851.23286.59%相关数据同比发生重大变动的主要影响因素说明√适用□不适用1、经营活动产生的现金流量净额较上年同期增加118.84%，主要系本报告期下属子公司销售商品、提供劳务收到的现金增加，购买商品、接受劳务支付的现金减少所致。2、投资活动现金流入较上年同期下降45.31%，主要系本报告期理财产品的到期金额减少所致。3、筹资活动现金流入较上年同期增加441.75%，主要系本报告期公司吸收投资和取得借款增加所致。4、筹资活动现金流出较上年同期增加63.67%，主要系本报告期下属子公司偿还债务增加所致。报告期内公司经营活动产生的现金净流量与本年度净利润存在重大差异的原因说明□适用√不适用三、非主营业务分析□适用√不适用四、资产及负债状况1、资产构成重大变动情况单位：元2019年末2019年初比重增减金额占总资产比例金额占总资产比例重大变动说明货币资金3,733,334,194.5029.35%1,868,381,454.5019.81%9.54%主要系本报告期公司募集资金增加及下属子公司收入增加所致。应收账款894,774,090.277.03%725,727,852.597.69%-0.66%存货1,750,272,181.0713.76%1,832,918,421.5419.43%-5.67%投资性房地产80,226,507.480.63%83,150,979.200.88%-0.25%长期股权投资459,880,276.683.62%69,112,868.650.73%2.89%固定资产1,513,883,910.8511.90%1,190,731,467.5812.62%-0.72%在建工程855,827,323.906.73%537,094,216.975.69%1.04%短期借款515,000,000.004.05%255,000,000.002.70%1.35%长期借款67,595,393.950.53%11,810,000.000.13%0.40%其他应收款1,167,178,154.209.17%783,120,573</w:t>
      </w:r>
      <w:r w:rsidRPr="006E630D">
        <w:rPr>
          <w:lang w:eastAsia="zh-CN"/>
        </w:rPr>
        <w:t>.778.30%0.87%预收款项823,191,456.676.47%1,070,787,825.8511.35%-4.88%2、以公允价值计量的资产和负债√适用□不适用单位：元项目期初数本期公允价值变动损益计入权益的累计公允价值</w:t>
      </w:r>
      <w:r>
        <w:rPr>
          <w:lang w:eastAsia="zh-CN"/>
        </w:rPr>
        <w:t>变动本期计提的减值本期购买金额本期出售金额其他变动期末数金融资产1.交易性金融资产（不含衍生金融资产）605,000,000.004,511,247.031,533,000,000.001,926,654,451.97215,856,795.064.其他</w:t>
      </w:r>
      <w:r>
        <w:rPr>
          <w:lang w:eastAsia="zh-CN"/>
        </w:rPr>
        <w:lastRenderedPageBreak/>
        <w:t>权益工173,135,124.2-2,587,737.84170,547,386具投资3.39上述合计778,135,124.24,511,247.03-2,587,737.841,533,000,001,926,654,45386,404,18130.001.97.45金融负债0.000.00其他变动的内容报告期内公司主要资产计量属性是否发生重大变化□是√否3、截至报告期末的资产权利受限情况项目期末账面价值受限原因货币资金19,015,900.00银行保函货币资金574,080.00财产保全资金冻结货币资金21,177,295.03房地产行业监管资金冻结交易性金融资产9,013,655.84银行理财产品质押无形资产2,515,106.23抵押借款固定资产16,995,870.07抵押借</w:t>
      </w:r>
      <w:r w:rsidRPr="006E630D">
        <w:rPr>
          <w:lang w:eastAsia="zh-CN"/>
        </w:rPr>
        <w:t>款合计69,291,907.17--五、投资状况1、总体情况√适用□不适用报告期投资额（元）上年同期投资额（元）变动幅度385,401,108.5318,000,000.002,041.12%2、报告期内获取的重大的股权投资情况√适用□不适用单位：元被投资公司名称主要业务投资方式投资金额持股比例资金来源合作方投资期限产品类型截至资预计收益本期投资盈亏是否涉诉披露日期（如有）披露索引（如有）产负债表日的进展情况长春安沃高新生物制药有限公司生物类似药研发、销售新设</w:t>
      </w:r>
      <w:r>
        <w:rPr>
          <w:lang w:eastAsia="zh-CN"/>
        </w:rPr>
        <w:t>335,710,000.0050.00%自有资金Alvotech.hf无限期存续生物类似药公司已于2019年3月设立-1,653,736.96否美国免单抗药新设7,603,520.00%自有资美国乔无限期单抗药公司已0.00否疫唤醒治亚州于2019股份有物研发08.53金CyanVa存续物年12限公司cLLC月设立美国蓝湖生物技术股份有限公司疫苗研发新设42,087,600.0020.00%自有资金美国阿拉巴马州AmesinoLLC无限期存续疫苗公司已于2019年12月设立0.00否合计----385,401,108.53------------0.00-1,653,736.96------3、报告期内正在进行的重大的非股权投资情况□适用√不适用4、金融资产投资（1）证券投资情况□适用√不适用公司报告期不存在证券投资。（2）衍生品投资情况□适用√不适用公司报告期不存在衍生品投资。5、募集资金使用情况√适用□不适用（1）募集资金总体使用情况√适用□不适用单位：万元募集年份募集方式募集资金总额本期已使用募集资金总额已累计使用募集资金总额报告期内变更用途的募集资金总额累计变更用途的募集资金总额累计变更用途的募集资金总额比例尚未使用募集资金总额尚未使用募集资金用途及去向闲置两年以上募集资金金额2016年配股174,293.0412,868.48173,754.887,441.07存放于募集资金账户2019年非公开发行97,494.9130,00030,00067,494.91存放于募集资金账户合计--271,787.9542,868.48203,754.88000.00%74,935.98--0募集资金总体使用情况说明1、公司2016年配股募集资金总额174,293.04万元。本报告期内，募集资金投入金额合计12,868.48万元</w:t>
      </w:r>
      <w:r w:rsidRPr="006E630D">
        <w:rPr>
          <w:lang w:eastAsia="zh-CN"/>
        </w:rPr>
        <w:t>，均系直接投入承诺投资项目。截至目前累计使用募集资金173,754.88万元。2、公司2019年非公开发行募集资金总额97,494.91万元。本报告期内，募集资金投入金额合计30,000万元，系直接投入承诺投资项目。截至目前累计使用募集资金30,000万元。公司已及时、真实、准确、完整的披露了募集资金使用相关信息，严格按照募投项目进行投入和使用，保证了资金的有效利用，不存在募集资金存放、使用、管理及披露的违规情形。（2）募集资金承诺项目情况√适用□不适用单位：万元承诺投资项目和超募资金投向是否已变更项目(含部分变更)募集资金承诺投资总额调整后投资总额(1)本报告期投入金额截至期末累计投入金额(2)截至期末投资进度(3)＝(2)/(1)项目达到预定可使用状态日期本报告期实现的效益是否达到预计效益项目可行性是否发生重大变化承诺投资项目1、百克生物疫苗生产基地I期项目否40,00040,0002,916.8334,</w:t>
      </w:r>
      <w:r>
        <w:rPr>
          <w:lang w:eastAsia="zh-CN"/>
        </w:rPr>
        <w:t>744.2186.86%不适</w:t>
      </w:r>
      <w:r>
        <w:rPr>
          <w:lang w:eastAsia="zh-CN"/>
        </w:rPr>
        <w:lastRenderedPageBreak/>
        <w:t>用是2、新产品研发投入否80,00080,0009,951.6583,894.88104.87%不适用否3、补充流动资金否54,293.0454,293.0455,115.79101.52%不适用否4、补充流动资金否97,494.9197,494.9130,00030,00030.77%不适用否承诺投资项目小计--271,787.9271,787.942,868.48203,754.8----0----558超募资金投向不适用超募资金投向小计------0----合计--271,787.9271,787.942,868.48203,754.8----0----558未达到计划进度或预根据公司于2019年3月5日召开第九届董事会第五次会议审议通过的《关于部分募集资金投资项目投产延期的议案》，受药品生产批件以及研发及新药技术审评等原因，决定将项目中的</w:t>
      </w:r>
      <w:r>
        <w:rPr>
          <w:highlight w:val="red"/>
          <w:lang w:eastAsia="zh-CN"/>
        </w:rPr>
        <w:t>鼻喷减毒流感疫苗</w:t>
      </w:r>
      <w:r>
        <w:rPr>
          <w:lang w:eastAsia="zh-CN"/>
        </w:rPr>
        <w:t>车间、</w:t>
      </w:r>
      <w:r>
        <w:rPr>
          <w:highlight w:val="red"/>
          <w:lang w:eastAsia="zh-CN"/>
        </w:rPr>
        <w:t>新型狂犬疫苗</w:t>
      </w:r>
      <w:r>
        <w:rPr>
          <w:lang w:eastAsia="zh-CN"/>
        </w:rPr>
        <w:t>分包装车间以及</w:t>
      </w:r>
      <w:r w:rsidRPr="006E630D">
        <w:rPr>
          <w:lang w:eastAsia="zh-CN"/>
        </w:rPr>
        <w:t>新型</w:t>
      </w:r>
      <w:r>
        <w:rPr>
          <w:highlight w:val="red"/>
          <w:lang w:eastAsia="zh-CN"/>
        </w:rPr>
        <w:t>百白破联合疫苗</w:t>
      </w:r>
      <w:r>
        <w:rPr>
          <w:lang w:eastAsia="zh-CN"/>
        </w:rPr>
        <w:t>车间投产时间分别延期至2019年9计收益的情况和原因月、2020年12月以及2022年12月；根据公司于2019年12月5日召开第九届董事会第十八次会（分具体项目）议审议通过的《关于部分募集资金投资项目投产延期的议案》，受药品生产批件审批进度影响，决定将项目中</w:t>
      </w:r>
      <w:r>
        <w:rPr>
          <w:highlight w:val="red"/>
          <w:lang w:eastAsia="zh-CN"/>
        </w:rPr>
        <w:t>鼻喷减毒流感疫苗</w:t>
      </w:r>
      <w:r>
        <w:rPr>
          <w:lang w:eastAsia="zh-CN"/>
        </w:rPr>
        <w:t>投产时间延期至2020年6月，</w:t>
      </w:r>
      <w:r w:rsidRPr="006E630D">
        <w:rPr>
          <w:lang w:eastAsia="zh-CN"/>
        </w:rPr>
        <w:t>新型</w:t>
      </w:r>
      <w:r>
        <w:rPr>
          <w:highlight w:val="red"/>
          <w:lang w:eastAsia="zh-CN"/>
        </w:rPr>
        <w:t>狂犬病疫苗</w:t>
      </w:r>
      <w:r>
        <w:rPr>
          <w:lang w:eastAsia="zh-CN"/>
        </w:rPr>
        <w:t>和</w:t>
      </w:r>
      <w:r w:rsidRPr="006E630D">
        <w:rPr>
          <w:lang w:eastAsia="zh-CN"/>
        </w:rPr>
        <w:t>新型</w:t>
      </w:r>
      <w:r>
        <w:rPr>
          <w:highlight w:val="red"/>
          <w:lang w:eastAsia="zh-CN"/>
        </w:rPr>
        <w:t>百白破联合疫苗</w:t>
      </w:r>
      <w:r>
        <w:rPr>
          <w:lang w:eastAsia="zh-CN"/>
        </w:rPr>
        <w:t>预计投产时间无变化。项目可行性发生重大变化的情况说明受药品生产批件以及研发及新药技术审评等原因，</w:t>
      </w:r>
      <w:r>
        <w:rPr>
          <w:highlight w:val="red"/>
          <w:lang w:eastAsia="zh-CN"/>
        </w:rPr>
        <w:t>百克生物疫苗</w:t>
      </w:r>
      <w:r>
        <w:rPr>
          <w:lang w:eastAsia="zh-CN"/>
        </w:rPr>
        <w:t>生产基地I期项目投产进度慢于预期。截至2019年12月31日，项目主体工程已基本完工，后续资金将根据药品生产批件审批进度分步投入。考虑到药品生产批件审批进度的不确定性，为了提高募集资金使用效率，进一步强化公司在医药研发领域的领先优势，更好地维护公司及公司股东的利益，公司决定将该项目结余募集资金及后续产生的利息收入等（截至2019年12月31日余额为74,409,844.21元）变更用于</w:t>
      </w:r>
      <w:r w:rsidRPr="006E630D">
        <w:rPr>
          <w:lang w:eastAsia="zh-CN"/>
        </w:rPr>
        <w:t>增加金赛药业研</w:t>
      </w:r>
      <w:r>
        <w:rPr>
          <w:lang w:eastAsia="zh-CN"/>
        </w:rPr>
        <w:t>发投入，</w:t>
      </w:r>
      <w:r>
        <w:rPr>
          <w:highlight w:val="red"/>
          <w:lang w:eastAsia="zh-CN"/>
        </w:rPr>
        <w:t>百克生物疫苗</w:t>
      </w:r>
      <w:r>
        <w:rPr>
          <w:lang w:eastAsia="zh-CN"/>
        </w:rPr>
        <w:t>生产基地I期项目剩余资金缺口由公司自筹解决。上述募集资金用途变更事项已经公司第九届董事会第二十次会议审议通过，尚需公司股东大会审议批准。超募资金的金额、用途不适用及使用进展情况募集资金投资项目实不适用施地点变更情况募集资金投资项目实适用施方式调整情况以前年度发生2017年度，综合两家子公司长春百益制药有限责任公司、西安爱德万思医疗科技有限公司的项目研发进度，公司于2017年5月18日及2017年6月6日分别召开第八届董事会第二十二次会议及2017年第一次临时股东大会，审议通过《关于变更募投项目实施方式的议案》，将公司原定使用本次配股募集部分资金对上述子公司增资的方式，变更为提供借款。上述情况业经大信会计师事务所（特殊普通合伙）审核，并出具大信专审字[2018]第7-00015号的专项审核报告。募集资金投资项目先适用2015年4月30日至2016年4月27日公司以自筹资金预先投入24,438.99万元，之后以募集资金置换已投入募集项目的自筹资金。上述资金置换情况业经大信会计师事务所（特殊普通合伙）审核，并出具大信专审字[2016]第7-00020号的专项审核报告。期投入及置换情况用闲置募集资金暂时不适用补充流动资金情况项目实施出现募集资不适用金结余的金额及原因尚未使用的募集资金截止2019年12月31日，公司2016年配股募集资金账户余额为7,441.07万元。根据公司第九届董事会第二十次会议审议通过的《关于变更2016年配股部分募集资金用途的议案》，公司决定将</w:t>
      </w:r>
      <w:r>
        <w:rPr>
          <w:highlight w:val="red"/>
          <w:lang w:eastAsia="zh-CN"/>
        </w:rPr>
        <w:t>百克生物疫苗</w:t>
      </w:r>
      <w:r>
        <w:rPr>
          <w:lang w:eastAsia="zh-CN"/>
        </w:rPr>
        <w:t>生产基地I期项目结余募集资金及后续产生的利息（截至2019年12月31日余额为用途及去向74,409,844.21元）变更</w:t>
      </w:r>
      <w:r w:rsidRPr="006E630D">
        <w:rPr>
          <w:lang w:eastAsia="zh-CN"/>
        </w:rPr>
        <w:t>用于增加金赛药业</w:t>
      </w:r>
      <w:r>
        <w:rPr>
          <w:lang w:eastAsia="zh-CN"/>
        </w:rPr>
        <w:t>研发投入，</w:t>
      </w:r>
      <w:r>
        <w:rPr>
          <w:highlight w:val="red"/>
          <w:lang w:eastAsia="zh-CN"/>
        </w:rPr>
        <w:t>百克生物疫苗</w:t>
      </w:r>
      <w:r>
        <w:rPr>
          <w:lang w:eastAsia="zh-CN"/>
        </w:rPr>
        <w:t>生产基地I期项目剩余资金缺口由公司自筹解决。上述变更事项尚需公司股东大会审议批准。截止2019年12月31日，公司2019年非公开发行募集资金账户余额为67,533.25万元。募集资金使用及披露中存在的问题或其他情况截止期末</w:t>
      </w:r>
      <w:r>
        <w:rPr>
          <w:lang w:eastAsia="zh-CN"/>
        </w:rPr>
        <w:lastRenderedPageBreak/>
        <w:t>累计投入的补充流动资金的金额多于调整后补充流动资金的投资总额，系因补充流动资金的交通银行股份有限公司长春卫星广场支行配股专户的2016年度至2017年度理财利息收入及银行利息收入；截止期末累计投入的研发投入的金额多于调整后研发投入总额，系因新产品研发投入的兴业银行股份有限公司长春高新支行配股专户的2016-2019年度理财利息收入及银行利息收入。（3）募集资金变更项目情况□适用√不适用公司报告期不存在募集资金变更项目情况。六、重大资产和股权出售1、出售重大资产情况√适用□不适用交易对方被出售资产出售日交易价格（万元）本期初起至出售日该资产为上市公司贡献的净利润（万元）出售对公司的影响（注3资产出售为上市公司贡献的净利润占净利润总额的比例资产出售定价原则是否为关联交易与交易对方的关联关系（适用关联交易情形）所涉及的资产产权是否已全部过户所涉及的债权债务是否已全部转移是否按计划如期实施，如未按计划实施，应当说明原因及公司已采取的措施披露日期披露索引长春高新技术产业开发区房屋征收综合管理办公室百益制药高新区晨晖街85号房屋及国有土地使用权2019年11月4日13,935.66-3,667.11无重大影响评估定价否不适用否否是2019年11月08日巨潮资讯网《重大合同公告》（2019-106））2、出售重大股权情况□适用√不适用七、主要控股参股公司分析√适用□不适用主要子公司及对公司净利润影响达10%以上的参股公司情况单位：元公司名称公司类型主要业务注册资本总资产净资产营业收入营业利润净利润</w:t>
      </w:r>
      <w:r w:rsidRPr="006E630D">
        <w:rPr>
          <w:lang w:eastAsia="zh-CN"/>
        </w:rPr>
        <w:t>长春金赛药业有限责任公司子公司制药73,000,000.003,044,617,918.1</w:t>
      </w:r>
      <w:r>
        <w:rPr>
          <w:lang w:eastAsia="zh-CN"/>
        </w:rPr>
        <w:t>02,311,664,524.684,821,929,820.102,373,704,199.401,976,254,636.36长春高新房地产开发有限责任公司子公司房地产300,000,000.003,990,358,437.051,391,160,123.76941,639,641.95311,730,115.63234,509,060.13报告期内取得和处置子公司的情况√适用□不适用公司名称报告期内取得和处置子公司方式对整体生产经营和业绩的影响上海赛增医疗科技有限公司设立没有较大影响吉林康然堂医药有限公司设立没有较大影响吉林维泽医药连锁有限公司出售没有较大影响长春汇康网络科技有限公司注销没有较大影响主要控股参股公司情况说明“主要子公司及对公司净利润影响达10%以上的参股公司情况”所列净利润为归属于母公司股东的净利润。八、公司控制</w:t>
      </w:r>
      <w:r w:rsidRPr="006E630D">
        <w:rPr>
          <w:lang w:eastAsia="zh-CN"/>
        </w:rPr>
        <w:t>的结构化主体情况□适用√不适用九、公司未来发展的展望着眼未来，公司将坚守主业方向，坚持医药科技创新领域投资，完善战略管控管理模式，切实贯彻医药产业为主、房地产业为辅的产业战略，本着“存量做足、增量做精”的发展原则，紧紧围绕五至十年期战略规划，进行项目甄选和产业布局。1、深入挖掘现有主导产品潜力，巩固现有平台基础公司将通过“做足存量”夯实现有产业结构基础，努力扩大重组人生</w:t>
      </w:r>
      <w:r>
        <w:rPr>
          <w:lang w:eastAsia="zh-CN"/>
        </w:rPr>
        <w:t>长激素的品牌优势和市场优势，巩固现有市场占有率。继续加大</w:t>
      </w:r>
      <w:r>
        <w:rPr>
          <w:highlight w:val="red"/>
          <w:lang w:eastAsia="zh-CN"/>
        </w:rPr>
        <w:t>促卵泡激素</w:t>
      </w:r>
      <w:r>
        <w:rPr>
          <w:lang w:eastAsia="zh-CN"/>
        </w:rPr>
        <w:t>等非儿科产品推广力度，争取2020年度业绩再上新台阶。稳定</w:t>
      </w:r>
      <w:r>
        <w:rPr>
          <w:highlight w:val="red"/>
          <w:lang w:eastAsia="zh-CN"/>
        </w:rPr>
        <w:t>水痘疫苗</w:t>
      </w:r>
      <w:r>
        <w:rPr>
          <w:lang w:eastAsia="zh-CN"/>
        </w:rPr>
        <w:t>的市场份额，</w:t>
      </w:r>
      <w:r w:rsidRPr="006E630D">
        <w:rPr>
          <w:lang w:eastAsia="zh-CN"/>
        </w:rPr>
        <w:t>支持华康药业的“创亿产品”发展规划，在现有产业基础上</w:t>
      </w:r>
      <w:r>
        <w:rPr>
          <w:lang w:eastAsia="zh-CN"/>
        </w:rPr>
        <w:t>，打造并完善</w:t>
      </w:r>
      <w:r>
        <w:rPr>
          <w:highlight w:val="red"/>
          <w:lang w:eastAsia="zh-CN"/>
        </w:rPr>
        <w:t>基因工程药物</w:t>
      </w:r>
      <w:r>
        <w:rPr>
          <w:lang w:eastAsia="zh-CN"/>
        </w:rPr>
        <w:t>、</w:t>
      </w:r>
      <w:r>
        <w:rPr>
          <w:highlight w:val="red"/>
          <w:lang w:eastAsia="zh-CN"/>
        </w:rPr>
        <w:t>新型疫苗</w:t>
      </w:r>
      <w:r>
        <w:rPr>
          <w:lang w:eastAsia="zh-CN"/>
        </w:rPr>
        <w:t>、</w:t>
      </w:r>
      <w:r>
        <w:rPr>
          <w:highlight w:val="red"/>
          <w:lang w:eastAsia="zh-CN"/>
        </w:rPr>
        <w:t>抗体药物</w:t>
      </w:r>
      <w:r>
        <w:rPr>
          <w:lang w:eastAsia="zh-CN"/>
        </w:rPr>
        <w:t>、</w:t>
      </w:r>
      <w:r>
        <w:rPr>
          <w:highlight w:val="red"/>
          <w:lang w:eastAsia="zh-CN"/>
        </w:rPr>
        <w:t>化药</w:t>
      </w:r>
      <w:r>
        <w:rPr>
          <w:lang w:eastAsia="zh-CN"/>
        </w:rPr>
        <w:t>、</w:t>
      </w:r>
      <w:r>
        <w:rPr>
          <w:highlight w:val="red"/>
          <w:lang w:eastAsia="zh-CN"/>
        </w:rPr>
        <w:t>现代中药</w:t>
      </w:r>
      <w:r>
        <w:rPr>
          <w:lang w:eastAsia="zh-CN"/>
        </w:rPr>
        <w:t>“五大发展平台”，持续加大研发投入，丰富核心企</w:t>
      </w:r>
      <w:r w:rsidRPr="006E630D">
        <w:rPr>
          <w:lang w:eastAsia="zh-CN"/>
        </w:rPr>
        <w:t>业金赛药业、百克生物、华康药业产品线，将核心制药企业培育成为各自领域的龙头企业，提升长春高新在国</w:t>
      </w:r>
      <w:r>
        <w:rPr>
          <w:lang w:eastAsia="zh-CN"/>
        </w:rPr>
        <w:t>内医药领域的品牌影响力。2、积极规划、提早布局，做好获批上市新产品和后续产品的推广工作百克生物鼻喷流感疫苗已获</w:t>
      </w:r>
      <w:r w:rsidRPr="006E630D">
        <w:rPr>
          <w:lang w:eastAsia="zh-CN"/>
        </w:rPr>
        <w:t>批上市，金赛药业</w:t>
      </w:r>
      <w:r>
        <w:rPr>
          <w:highlight w:val="red"/>
          <w:lang w:eastAsia="zh-CN"/>
        </w:rPr>
        <w:t>生长激素</w:t>
      </w:r>
      <w:r>
        <w:rPr>
          <w:lang w:eastAsia="zh-CN"/>
        </w:rPr>
        <w:t>产品新适应症临床试验进展顺利，相关企业将认真分析市场需求、稳妥开辟推广路径，尽快落实产品导入市场相关工作安排，充分发挥市场影响力和剂型优势，将</w:t>
      </w:r>
      <w:r>
        <w:rPr>
          <w:highlight w:val="red"/>
          <w:lang w:eastAsia="zh-CN"/>
        </w:rPr>
        <w:t>鼻喷流感</w:t>
      </w:r>
      <w:r>
        <w:rPr>
          <w:lang w:eastAsia="zh-CN"/>
        </w:rPr>
        <w:t>疫苗等新产品培育成公司新的利</w:t>
      </w:r>
      <w:r>
        <w:rPr>
          <w:lang w:eastAsia="zh-CN"/>
        </w:rPr>
        <w:lastRenderedPageBreak/>
        <w:t>润增长点。3、坚持国际化发展战略，积极推进研发项目落地公司将总</w:t>
      </w:r>
      <w:r w:rsidRPr="006E630D">
        <w:rPr>
          <w:lang w:eastAsia="zh-CN"/>
        </w:rPr>
        <w:t>结在医药高科技项目投资方面积累的成功经验，以“做精增量”筹划未来核心产品线布局。2020年，重点推动与美国公司合作化药项目的落地，全面落实产业项目的基础设施建设和产品引进工作，</w:t>
      </w:r>
      <w:r>
        <w:rPr>
          <w:lang w:eastAsia="zh-CN"/>
        </w:rPr>
        <w:t>积极</w:t>
      </w:r>
      <w:r w:rsidRPr="006E630D">
        <w:rPr>
          <w:lang w:eastAsia="zh-CN"/>
        </w:rPr>
        <w:t>促进技术转移和产品注册，优化项目样板作用，积极探索适合地域特色和公司产业发展需求的国际合作路径，为未来打造新的核心企业奠定基础。2020年，将积极推进安能泰</w:t>
      </w:r>
      <w:r>
        <w:rPr>
          <w:lang w:eastAsia="zh-CN"/>
        </w:rPr>
        <w:t>公司（NAL）透皮贴片在美国上市，技术转移和生产线建设将有序展</w:t>
      </w:r>
      <w:r w:rsidRPr="006E630D">
        <w:rPr>
          <w:lang w:eastAsia="zh-CN"/>
        </w:rPr>
        <w:t>开，化药生产基地的</w:t>
      </w:r>
      <w:r>
        <w:rPr>
          <w:lang w:eastAsia="zh-CN"/>
        </w:rPr>
        <w:t>建设将开始筹划；美国免疫唤醒公司</w:t>
      </w:r>
      <w:r>
        <w:rPr>
          <w:highlight w:val="red"/>
          <w:lang w:eastAsia="zh-CN"/>
        </w:rPr>
        <w:t>双特异性抗体</w:t>
      </w:r>
      <w:r>
        <w:rPr>
          <w:lang w:eastAsia="zh-CN"/>
        </w:rPr>
        <w:t>平台项目将进行动物水平正式验证；美国蓝湖生物公司</w:t>
      </w:r>
      <w:r>
        <w:rPr>
          <w:highlight w:val="red"/>
          <w:lang w:eastAsia="zh-CN"/>
        </w:rPr>
        <w:t>呼吸道合胞病毒疫苗</w:t>
      </w:r>
      <w:r>
        <w:rPr>
          <w:lang w:eastAsia="zh-CN"/>
        </w:rPr>
        <w:t>项目将在年内完成</w:t>
      </w:r>
      <w:r w:rsidRPr="006E630D">
        <w:rPr>
          <w:lang w:eastAsia="zh-CN"/>
        </w:rPr>
        <w:t>临床注册申报前所有工作，准备开始在美国的一期临床试验。2020年度，新冠肺炎疫情的影响将渗透宏观经济领域、社会生活的每个角落，公司及各个子公司将针对行业、产品的市场特点，采取切实可行的措</w:t>
      </w:r>
      <w:r>
        <w:rPr>
          <w:lang w:eastAsia="zh-CN"/>
        </w:rPr>
        <w:t>施，探索创新营销推广模式，确保存量市场巩固的同时，多渠道开发、储备潜在市场和客户，多措并举，激发营销队伍和市场潜能，力争将损失降至可控幅度内，既定业绩目标暂不做调整。十、接待调研、沟通、采访等活动情况1、报告期内接待调研、沟通、采访等活动登记表√适用□不适用接待时间接待方式接待对象类型调研的基本情况索引2019年08月13日其他机构公司定期报告相关生产经营情况接待次数1接待机构数量28接待个人数量0接待其他对象数量0是否披露、透露或泄露未公开重大信息否</w:t>
      </w:r>
    </w:p>
    <w:p w14:paraId="192EB585" w14:textId="77777777" w:rsidR="00ED2E4B" w:rsidRDefault="00ED2E4B">
      <w:pPr>
        <w:rPr>
          <w:lang w:eastAsia="zh-CN"/>
        </w:rPr>
      </w:pPr>
    </w:p>
    <w:p w14:paraId="2FF66E8F" w14:textId="77777777" w:rsidR="00ED2E4B" w:rsidRDefault="00ED2E4B">
      <w:pPr>
        <w:rPr>
          <w:lang w:eastAsia="zh-CN"/>
        </w:rPr>
      </w:pPr>
    </w:p>
    <w:p w14:paraId="1BFC231E" w14:textId="77777777" w:rsidR="00ED2E4B" w:rsidRDefault="00000000">
      <w:pPr>
        <w:rPr>
          <w:lang w:eastAsia="zh-CN"/>
        </w:rPr>
      </w:pPr>
      <w:r>
        <w:rPr>
          <w:rFonts w:hint="eastAsia"/>
          <w:lang w:eastAsia="zh-CN"/>
        </w:rPr>
        <w:t xml:space="preserve">                      标注：84</w:t>
      </w:r>
    </w:p>
    <w:p w14:paraId="32DBEE19" w14:textId="77777777" w:rsidR="00ED2E4B" w:rsidRDefault="00ED2E4B"/>
    <w:p w14:paraId="3A49F166" w14:textId="77777777" w:rsidR="00ED2E4B" w:rsidRDefault="00ED2E4B"/>
    <w:p w14:paraId="41BEB85C" w14:textId="77777777" w:rsidR="00ED2E4B" w:rsidRDefault="00ED2E4B"/>
    <w:p w14:paraId="4CB38740" w14:textId="77777777" w:rsidR="00ED2E4B" w:rsidRDefault="00ED2E4B"/>
    <w:p w14:paraId="1E587652" w14:textId="77777777" w:rsidR="00ED2E4B" w:rsidRDefault="00000000">
      <w:pPr>
        <w:rPr>
          <w:lang w:eastAsia="zh-CN"/>
        </w:rPr>
      </w:pPr>
      <w:r>
        <w:rPr>
          <w:rFonts w:hint="eastAsia"/>
          <w:lang w:eastAsia="zh-CN"/>
        </w:rPr>
        <w:t xml:space="preserve">              </w:t>
      </w:r>
    </w:p>
    <w:sectPr w:rsidR="00ED2E4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5DEA55" w14:textId="77777777" w:rsidR="00CE1FB3" w:rsidRDefault="00CE1FB3">
      <w:pPr>
        <w:spacing w:line="240" w:lineRule="auto"/>
      </w:pPr>
      <w:r>
        <w:separator/>
      </w:r>
    </w:p>
  </w:endnote>
  <w:endnote w:type="continuationSeparator" w:id="0">
    <w:p w14:paraId="5BC6560C" w14:textId="77777777" w:rsidR="00CE1FB3" w:rsidRDefault="00CE1FB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00"/>
    <w:family w:val="auto"/>
    <w:pitch w:val="default"/>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5D194E" w14:textId="77777777" w:rsidR="00CE1FB3" w:rsidRDefault="00CE1FB3">
      <w:pPr>
        <w:spacing w:after="0"/>
      </w:pPr>
      <w:r>
        <w:separator/>
      </w:r>
    </w:p>
  </w:footnote>
  <w:footnote w:type="continuationSeparator" w:id="0">
    <w:p w14:paraId="3BAF4FFB" w14:textId="77777777" w:rsidR="00CE1FB3" w:rsidRDefault="00CE1FB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1844665121">
    <w:abstractNumId w:val="1"/>
  </w:num>
  <w:num w:numId="2" w16cid:durableId="494304653">
    <w:abstractNumId w:val="4"/>
  </w:num>
  <w:num w:numId="3" w16cid:durableId="624192941">
    <w:abstractNumId w:val="5"/>
  </w:num>
  <w:num w:numId="4" w16cid:durableId="350493363">
    <w:abstractNumId w:val="2"/>
  </w:num>
  <w:num w:numId="5" w16cid:durableId="1470516669">
    <w:abstractNumId w:val="0"/>
  </w:num>
  <w:num w:numId="6" w16cid:durableId="2855075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GIwYmQyMWJkYmYzNzg1NjdlMDUwNDgxZjkxYTViMTkifQ=="/>
  </w:docVars>
  <w:rsids>
    <w:rsidRoot w:val="00B47730"/>
    <w:rsid w:val="00034616"/>
    <w:rsid w:val="0006063C"/>
    <w:rsid w:val="0015074B"/>
    <w:rsid w:val="0029639D"/>
    <w:rsid w:val="00326F90"/>
    <w:rsid w:val="006E630D"/>
    <w:rsid w:val="00AA1D8D"/>
    <w:rsid w:val="00B47730"/>
    <w:rsid w:val="00CB0664"/>
    <w:rsid w:val="00CE1FB3"/>
    <w:rsid w:val="00ED2E4B"/>
    <w:rsid w:val="00FC693F"/>
    <w:rsid w:val="06E65352"/>
    <w:rsid w:val="080C0DE8"/>
    <w:rsid w:val="086F7120"/>
    <w:rsid w:val="176A3E20"/>
    <w:rsid w:val="183103F7"/>
    <w:rsid w:val="1DF93765"/>
    <w:rsid w:val="203D5904"/>
    <w:rsid w:val="250E5D48"/>
    <w:rsid w:val="26804A23"/>
    <w:rsid w:val="32544FB6"/>
    <w:rsid w:val="33A1422B"/>
    <w:rsid w:val="35845BB2"/>
    <w:rsid w:val="39317DFF"/>
    <w:rsid w:val="39697599"/>
    <w:rsid w:val="3A1F40FB"/>
    <w:rsid w:val="419158DF"/>
    <w:rsid w:val="48C02FB8"/>
    <w:rsid w:val="4AE03433"/>
    <w:rsid w:val="558739D3"/>
    <w:rsid w:val="617D51B9"/>
    <w:rsid w:val="63D731CD"/>
    <w:rsid w:val="76A276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3BD28D"/>
  <w14:defaultImageDpi w14:val="300"/>
  <w15:docId w15:val="{F744C7AC-8C1B-49C8-8970-A8D6613A9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qFormat="1"/>
    <w:lsdException w:name="toa heading" w:semiHidden="1" w:unhideWhenUsed="1"/>
    <w:lsdException w:name="List" w:unhideWhenUsed="1"/>
    <w:lsdException w:name="List Bullet" w:unhideWhenUsed="1"/>
    <w:lsdException w:name="List Number" w:unhideWhenUsed="1"/>
    <w:lsdException w:name="List 2" w:unhideWhenUsed="1"/>
    <w:lsdException w:name="List 3" w:unhideWhenUsed="1"/>
    <w:lsdException w:name="List 4" w:semiHidden="1" w:unhideWhenUsed="1"/>
    <w:lsdException w:name="List 5" w:semiHidden="1" w:unhideWhenUsed="1"/>
    <w:lsdException w:name="List Bullet 2" w:unhideWhenUsed="1"/>
    <w:lsdException w:name="List Bullet 3" w:unhideWhenUsed="1"/>
    <w:lsdException w:name="List Bullet 4" w:semiHidden="1" w:unhideWhenUsed="1"/>
    <w:lsdException w:name="List Bullet 5" w:semiHidden="1" w:unhideWhenUsed="1"/>
    <w:lsdException w:name="List Number 2" w:unhideWhenUsed="1"/>
    <w:lsdException w:name="List Number 3"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qFormat="1"/>
    <w:lsdException w:name="Body Text Indent" w:semiHidden="1" w:unhideWhenUsed="1"/>
    <w:lsdException w:name="List Continue" w:unhideWhenUsed="1" w:qFormat="1"/>
    <w:lsdException w:name="List Continue 2" w:unhideWhenUsed="1"/>
    <w:lsdException w:name="List Continue 3" w:unhideWhenUsed="1"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lsdException w:name="Body Text 3"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qFormat="1"/>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qFormat="1"/>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qFormat="1"/>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qFormat="1"/>
    <w:lsdException w:name="Colorful List Accent 5" w:uiPriority="72"/>
    <w:lsdException w:name="Colorful Grid Accent 5" w:uiPriority="73"/>
    <w:lsdException w:name="Light Shading Accent 6" w:uiPriority="60" w:qFormat="1"/>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qFormat/>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pPr>
      <w:ind w:left="1080" w:hanging="360"/>
      <w:contextualSpacing/>
    </w:pPr>
  </w:style>
  <w:style w:type="paragraph" w:styleId="2">
    <w:name w:val="List Number 2"/>
    <w:basedOn w:val="a1"/>
    <w:uiPriority w:val="99"/>
    <w:unhideWhenUsed/>
    <w:pPr>
      <w:numPr>
        <w:numId w:val="1"/>
      </w:numPr>
      <w:contextualSpacing/>
    </w:pPr>
  </w:style>
  <w:style w:type="paragraph" w:styleId="a">
    <w:name w:val="List Number"/>
    <w:basedOn w:val="a1"/>
    <w:uiPriority w:val="99"/>
    <w:unhideWhenUsed/>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pPr>
      <w:numPr>
        <w:numId w:val="3"/>
      </w:numPr>
      <w:contextualSpacing/>
    </w:pPr>
  </w:style>
  <w:style w:type="paragraph" w:styleId="34">
    <w:name w:val="Body Text 3"/>
    <w:basedOn w:val="a1"/>
    <w:link w:val="35"/>
    <w:uiPriority w:val="99"/>
    <w:unhideWhenUsed/>
    <w:pPr>
      <w:spacing w:after="120"/>
    </w:pPr>
    <w:rPr>
      <w:sz w:val="16"/>
      <w:szCs w:val="16"/>
    </w:rPr>
  </w:style>
  <w:style w:type="paragraph" w:styleId="30">
    <w:name w:val="List Bullet 3"/>
    <w:basedOn w:val="a1"/>
    <w:uiPriority w:val="99"/>
    <w:unhideWhenUsed/>
    <w:pPr>
      <w:numPr>
        <w:numId w:val="4"/>
      </w:numPr>
      <w:contextualSpacing/>
    </w:pPr>
  </w:style>
  <w:style w:type="paragraph" w:styleId="a8">
    <w:name w:val="Body Text"/>
    <w:basedOn w:val="a1"/>
    <w:link w:val="a9"/>
    <w:uiPriority w:val="99"/>
    <w:unhideWhenUsed/>
    <w:qFormat/>
    <w:pPr>
      <w:spacing w:after="120"/>
    </w:pPr>
  </w:style>
  <w:style w:type="paragraph" w:styleId="3">
    <w:name w:val="List Number 3"/>
    <w:basedOn w:val="a1"/>
    <w:uiPriority w:val="99"/>
    <w:unhideWhenUsed/>
    <w:qFormat/>
    <w:pPr>
      <w:numPr>
        <w:numId w:val="5"/>
      </w:numPr>
      <w:contextualSpacing/>
    </w:pPr>
  </w:style>
  <w:style w:type="paragraph" w:styleId="23">
    <w:name w:val="List 2"/>
    <w:basedOn w:val="a1"/>
    <w:uiPriority w:val="99"/>
    <w:unhideWhenUsed/>
    <w:pPr>
      <w:ind w:left="720" w:hanging="360"/>
      <w:contextualSpacing/>
    </w:pPr>
  </w:style>
  <w:style w:type="paragraph" w:styleId="aa">
    <w:name w:val="List Continue"/>
    <w:basedOn w:val="a1"/>
    <w:uiPriority w:val="99"/>
    <w:unhideWhenUsed/>
    <w:qFormat/>
    <w:pPr>
      <w:spacing w:after="120"/>
      <w:ind w:left="360"/>
      <w:contextualSpacing/>
    </w:pPr>
  </w:style>
  <w:style w:type="paragraph" w:styleId="20">
    <w:name w:val="List Bullet 2"/>
    <w:basedOn w:val="a1"/>
    <w:uiPriority w:val="99"/>
    <w:unhideWhenUsed/>
    <w:pPr>
      <w:numPr>
        <w:numId w:val="6"/>
      </w:numPr>
      <w:contextualSpacing/>
    </w:pPr>
  </w:style>
  <w:style w:type="paragraph" w:styleId="ab">
    <w:name w:val="footer"/>
    <w:basedOn w:val="a1"/>
    <w:link w:val="ac"/>
    <w:uiPriority w:val="99"/>
    <w:unhideWhenUsed/>
    <w:pPr>
      <w:tabs>
        <w:tab w:val="center" w:pos="4680"/>
        <w:tab w:val="right" w:pos="9360"/>
      </w:tabs>
      <w:spacing w:after="0" w:line="240" w:lineRule="auto"/>
    </w:pPr>
  </w:style>
  <w:style w:type="paragraph" w:styleId="ad">
    <w:name w:val="header"/>
    <w:basedOn w:val="a1"/>
    <w:link w:val="ae"/>
    <w:uiPriority w:val="99"/>
    <w:unhideWhenUsed/>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pPr>
      <w:ind w:left="360" w:hanging="360"/>
      <w:contextualSpacing/>
    </w:pPr>
  </w:style>
  <w:style w:type="paragraph" w:styleId="24">
    <w:name w:val="Body Text 2"/>
    <w:basedOn w:val="a1"/>
    <w:link w:val="25"/>
    <w:uiPriority w:val="99"/>
    <w:unhideWhenUsed/>
    <w:pPr>
      <w:spacing w:after="120" w:line="480" w:lineRule="auto"/>
    </w:pPr>
  </w:style>
  <w:style w:type="paragraph" w:styleId="26">
    <w:name w:val="List Continue 2"/>
    <w:basedOn w:val="a1"/>
    <w:uiPriority w:val="99"/>
    <w:unhideWhenUsed/>
    <w:pPr>
      <w:spacing w:after="120"/>
      <w:ind w:left="720"/>
      <w:contextualSpacing/>
    </w:pPr>
  </w:style>
  <w:style w:type="paragraph" w:styleId="36">
    <w:name w:val="List Continue 3"/>
    <w:basedOn w:val="a1"/>
    <w:uiPriority w:val="99"/>
    <w:unhideWhenUsed/>
    <w:qFormat/>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qFormat/>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qFormat/>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qFormat/>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qFormat/>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qFormat/>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style>
  <w:style w:type="character" w:customStyle="1" w:styleId="ac">
    <w:name w:val="页脚 字符"/>
    <w:basedOn w:val="a2"/>
    <w:link w:val="ab"/>
    <w:uiPriority w:val="99"/>
  </w:style>
  <w:style w:type="paragraph" w:styleId="afe">
    <w:name w:val="No Spacing"/>
    <w:uiPriority w:val="1"/>
    <w:qFormat/>
    <w:rPr>
      <w:sz w:val="22"/>
      <w:szCs w:val="22"/>
      <w:lang w:eastAsia="en-US"/>
    </w:rPr>
  </w:style>
  <w:style w:type="character" w:customStyle="1" w:styleId="10">
    <w:name w:val="标题 1 字符"/>
    <w:basedOn w:val="a2"/>
    <w:link w:val="1"/>
    <w:uiPriority w:val="9"/>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style>
  <w:style w:type="character" w:customStyle="1" w:styleId="25">
    <w:name w:val="正文文本 2 字符"/>
    <w:basedOn w:val="a2"/>
    <w:link w:val="24"/>
    <w:uiPriority w:val="99"/>
  </w:style>
  <w:style w:type="character" w:customStyle="1" w:styleId="35">
    <w:name w:val="正文文本 3 字符"/>
    <w:basedOn w:val="a2"/>
    <w:link w:val="34"/>
    <w:uiPriority w:val="99"/>
    <w:rPr>
      <w:sz w:val="16"/>
      <w:szCs w:val="16"/>
    </w:rPr>
  </w:style>
  <w:style w:type="character" w:customStyle="1" w:styleId="a6">
    <w:name w:val="宏文本 字符"/>
    <w:basedOn w:val="a2"/>
    <w:link w:val="a5"/>
    <w:uiPriority w:val="99"/>
    <w:qFormat/>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qFormat/>
    <w:rPr>
      <w:i/>
      <w:iCs/>
      <w:color w:val="000000" w:themeColor="text1"/>
    </w:rPr>
  </w:style>
  <w:style w:type="character" w:customStyle="1" w:styleId="40">
    <w:name w:val="标题 4 字符"/>
    <w:basedOn w:val="a2"/>
    <w:link w:val="4"/>
    <w:uiPriority w:val="9"/>
    <w:semiHidden/>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8</Pages>
  <Words>1955</Words>
  <Characters>11145</Characters>
  <Application>Microsoft Office Word</Application>
  <DocSecurity>0</DocSecurity>
  <Lines>92</Lines>
  <Paragraphs>26</Paragraphs>
  <ScaleCrop>false</ScaleCrop>
  <Company/>
  <LinksUpToDate>false</LinksUpToDate>
  <CharactersWithSpaces>13074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2022-07-11T07:42:00Z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860DD7DF4A8D4F408F3B9854D2E950B3</vt:lpwstr>
  </property>
</Properties>
</file>