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094DD" w14:textId="77777777" w:rsidR="008C2D0F" w:rsidRDefault="00000000">
      <w:pPr>
        <w:rPr>
          <w:lang w:eastAsia="zh-CN"/>
        </w:rPr>
      </w:pPr>
      <w:r>
        <w:rPr>
          <w:lang w:eastAsia="zh-CN"/>
        </w:rPr>
        <w:t>第四节经营情况讨论与分析一、概述2019年，受世界经济增速下滑和国内增长动力不足的影响，我国经济增速持续放缓，周期性问题与结构性矛盾叠加，经济运行面临诸多风险和挑战。面对复杂多变的局面，公司精心组织生产，采取了一系列增收节支、降本增效的应对措施，但受宏观经济形势和行业供求关系影响，公司主导产品价格及经营业绩较去年同期出现下滑。报告期内，公司实现营业收入76.93亿元，同比下降13.79%，归属于上市公司的净利润6.73亿元，同比</w:t>
      </w:r>
      <w:r w:rsidRPr="002F455F">
        <w:rPr>
          <w:lang w:eastAsia="zh-CN"/>
        </w:rPr>
        <w:t>下降48.22%。报告期内，公司主要做了以下工作：（一）紧抓安全环保不放松。始终坚持安全生产基础地位不动摇，牢固树立安全环保工作的“红线”意识和“底线”思维，建立健全隐患排查治理和风险预防控制为主要内容的双重防控体系，保持安全管理高压态势。围绕“蓝天、绿水、净土”目标，打造“以评促管”的管控模式，确保安全环保始终处于可控状态，全年无重大安全环保事故发生</w:t>
      </w:r>
      <w:r>
        <w:rPr>
          <w:lang w:eastAsia="zh-CN"/>
        </w:rPr>
        <w:t>。（二）生产经营取得新进展。主要生产企业装置运行率保持较高水平，装置产能充分释放。产品提质</w:t>
      </w:r>
      <w:proofErr w:type="gramStart"/>
      <w:r>
        <w:rPr>
          <w:lang w:eastAsia="zh-CN"/>
        </w:rPr>
        <w:t>升级成效</w:t>
      </w:r>
      <w:proofErr w:type="gramEnd"/>
      <w:r>
        <w:rPr>
          <w:lang w:eastAsia="zh-CN"/>
        </w:rPr>
        <w:t>明显，主要产品优等品率较</w:t>
      </w:r>
      <w:proofErr w:type="gramStart"/>
      <w:r>
        <w:rPr>
          <w:lang w:eastAsia="zh-CN"/>
        </w:rPr>
        <w:t>上年都</w:t>
      </w:r>
      <w:proofErr w:type="gramEnd"/>
      <w:r>
        <w:rPr>
          <w:lang w:eastAsia="zh-CN"/>
        </w:rPr>
        <w:t>有了不同程度的提升。</w:t>
      </w:r>
      <w:r w:rsidRPr="002F455F">
        <w:rPr>
          <w:highlight w:val="red"/>
          <w:lang w:eastAsia="zh-CN"/>
        </w:rPr>
        <w:t>日用纯碱</w:t>
      </w:r>
      <w:r>
        <w:rPr>
          <w:lang w:eastAsia="zh-CN"/>
        </w:rPr>
        <w:t>和</w:t>
      </w:r>
      <w:r w:rsidRPr="002F455F">
        <w:rPr>
          <w:highlight w:val="red"/>
          <w:lang w:eastAsia="zh-CN"/>
        </w:rPr>
        <w:t>日用小苏打</w:t>
      </w:r>
      <w:r>
        <w:rPr>
          <w:lang w:eastAsia="zh-CN"/>
        </w:rPr>
        <w:t>持续推出新产品。通过提供</w:t>
      </w:r>
      <w:r w:rsidRPr="002F455F">
        <w:rPr>
          <w:highlight w:val="red"/>
          <w:lang w:eastAsia="zh-CN"/>
        </w:rPr>
        <w:t>测土</w:t>
      </w:r>
      <w:r>
        <w:rPr>
          <w:lang w:eastAsia="zh-CN"/>
        </w:rPr>
        <w:t>、</w:t>
      </w:r>
      <w:r w:rsidRPr="002F455F">
        <w:rPr>
          <w:highlight w:val="red"/>
          <w:lang w:eastAsia="zh-CN"/>
        </w:rPr>
        <w:t>配方</w:t>
      </w:r>
      <w:r>
        <w:rPr>
          <w:lang w:eastAsia="zh-CN"/>
        </w:rPr>
        <w:t>到</w:t>
      </w:r>
      <w:r w:rsidRPr="002F455F">
        <w:rPr>
          <w:highlight w:val="red"/>
          <w:lang w:eastAsia="zh-CN"/>
        </w:rPr>
        <w:t>供肥</w:t>
      </w:r>
      <w:r>
        <w:rPr>
          <w:lang w:eastAsia="zh-CN"/>
        </w:rPr>
        <w:t>的定制化套餐式服务，</w:t>
      </w:r>
      <w:r w:rsidRPr="002F455F">
        <w:rPr>
          <w:highlight w:val="red"/>
          <w:lang w:eastAsia="zh-CN"/>
        </w:rPr>
        <w:t>新型肥料</w:t>
      </w:r>
      <w:r>
        <w:rPr>
          <w:lang w:eastAsia="zh-CN"/>
        </w:rPr>
        <w:t>研发、生产和推广取得新进展。（三）重点项目相继建成投产。兴安化学30/52</w:t>
      </w:r>
      <w:r w:rsidRPr="002F455F">
        <w:rPr>
          <w:highlight w:val="red"/>
          <w:lang w:eastAsia="zh-CN"/>
        </w:rPr>
        <w:t>化肥</w:t>
      </w:r>
      <w:r>
        <w:rPr>
          <w:lang w:eastAsia="zh-CN"/>
        </w:rPr>
        <w:t>项目达产达标，转入固定资产。中源化学40万吨</w:t>
      </w:r>
      <w:r w:rsidRPr="002F455F">
        <w:rPr>
          <w:highlight w:val="red"/>
          <w:lang w:eastAsia="zh-CN"/>
        </w:rPr>
        <w:t>小苏打</w:t>
      </w:r>
      <w:r>
        <w:rPr>
          <w:lang w:eastAsia="zh-CN"/>
        </w:rPr>
        <w:t>项目实现达产，转入固定资产。（四）持续回购公司股份。2019年，公司继续回购股份。截止2019年5月21日，公司以集中竞价交易方式累计回购股份2.58亿股，占公司总股本的6.5%，累计成交金额7.2亿元，其中2019年度共回购股份1.56亿股，成交金额4.28亿元。公司回购股</w:t>
      </w:r>
      <w:proofErr w:type="gramStart"/>
      <w:r>
        <w:rPr>
          <w:lang w:eastAsia="zh-CN"/>
        </w:rPr>
        <w:t>份符合</w:t>
      </w:r>
      <w:proofErr w:type="gramEnd"/>
      <w:r>
        <w:rPr>
          <w:lang w:eastAsia="zh-CN"/>
        </w:rPr>
        <w:t>既定方案，有效维护了广大投资者的利益，增强了投资者信心。（五）改革创新提升管理水平。公司继续完善财务一体化改革，发挥融资、资金调度、税务筹划的集中统一管理优势，保证了正常生产运营和项目建设。不断深化营销一体化改革，建立销售平台，整合营销资源和销售团队，实现专业化运营。在生产企业推行过程激励，并建立生产型企业特殊人才激励机制。强化对企业生产经营管理过程中的巡视，范围更广、力度更大。完善法律风险预防预控机制，从源头、过程中介入把控风险。（六）积极</w:t>
      </w:r>
      <w:proofErr w:type="gramStart"/>
      <w:r>
        <w:rPr>
          <w:lang w:eastAsia="zh-CN"/>
        </w:rPr>
        <w:t>践行</w:t>
      </w:r>
      <w:proofErr w:type="gramEnd"/>
      <w:r>
        <w:rPr>
          <w:lang w:eastAsia="zh-CN"/>
        </w:rPr>
        <w:t>社会责任。</w:t>
      </w:r>
      <w:proofErr w:type="gramStart"/>
      <w:r>
        <w:rPr>
          <w:lang w:eastAsia="zh-CN"/>
        </w:rPr>
        <w:t>践行</w:t>
      </w:r>
      <w:proofErr w:type="gramEnd"/>
      <w:r>
        <w:rPr>
          <w:lang w:eastAsia="zh-CN"/>
        </w:rPr>
        <w:t>“诚信经商，按章纳税，遵纪守法，注重环保，善待员工”的经营理念，积极履行社会责任，实现和谐发展。一是进一步将绿色发展理念融入生产经营全过程，加大安全环保的专项投入和检查力度，牢固树立“以人为本”理念，明确安全环保“四个零”和“三个百分百”的目标，确保了全年安全环保生产形势持续稳定。二是积极响应国家号召，在爱心助学、财物捐赠、内部救助等方面发力，惠及厂区周边散居牧民、残障人士、孤寡老人、困难群众、困难员工，</w:t>
      </w:r>
      <w:proofErr w:type="gramStart"/>
      <w:r>
        <w:rPr>
          <w:lang w:eastAsia="zh-CN"/>
        </w:rPr>
        <w:t>践行</w:t>
      </w:r>
      <w:proofErr w:type="gramEnd"/>
      <w:r>
        <w:rPr>
          <w:lang w:eastAsia="zh-CN"/>
        </w:rPr>
        <w:t>社会责任，体现企业担当。三是重视投资者关系管理，不断完善信息披露，规范对外接待、网络平台提问回答及投资者电话沟通等工作，确保公司信息披露公平、公正，维护中小股东利益。公司需遵守《深圳证券交易所行业信息披露指引第2号——上市公司从事固体矿产资源相关业务》的披露要求二、主营业务分析1、概述参见“经营情况讨论与分析”中的“一、概述”相关内容。2、收入与成本（1）营业收入构成单位：元2019年2018年同比增减金额占营业收入比重金额占营业收入比重营业收入合计7,693,220,353.78100%8,923,581,905.98100%-13.79%分行业碱业-自产3,434,785,724.5344.65%3,741,375,317.4741.93%-8.19%煤炭-自产230,713,460.503.00%480,472,154.825.38%-51.98%尿素-自产2,159,849,287.9328.07%1,559,798,006.6717.48%38.47%甲醇-自产</w:t>
      </w:r>
      <w:r>
        <w:rPr>
          <w:lang w:eastAsia="zh-CN"/>
        </w:rPr>
        <w:lastRenderedPageBreak/>
        <w:t>899,415,010.3211.69%1,203,183,445.5713.48%-25.25%其他-自产126,472,159.271.64%128,547,572.111.44%-1.61%碱业-贸易12,111,844.050.16%67,438,487.460.76%-82.04%煤炭-贸易228,131,012.622.97%652,543,750.127.31%-65.04%尿素-贸易0.000.00%111,721,852.881.25%-100.00%甲醇-贸易510,252,520.066.63%792,350,002.668.88%-35.60%其他-贸易16,739,589.320.22%101,066,815.421.13%-83.44%其他业务收入74,749,745.180.97%85,084,500.800.95%-12.15%分产品纯碱-自产2,498,695,382.3832.48%2,693,072,925.3030.18%-7.22%小苏打-自产936,090,342.1512.17%1,048,302,392.1711.75%-10.70%煤炭-自产230,713,460.503.00%480,472,154.825.38%-51.98%尿素-自产2,159,849,287.9328.07%1,559,798,006.6717.48%38.47%甲醇-自产899,415,010.3211.69%1,203,183,445.5713.48%-25.25%其他-自产126,472,159.271.64%128,547,572.111.44%-1.61%纯碱-贸易113,893.810.00%9,763,944.750.11%-98.83%小苏打-贸易11,997,950.240.16%57,674,542.710.65%-79.20%煤炭-贸易228,131,012.622.97%652,543,750.127.31%-65.04%尿素-贸易0.000.00%111,721,852.881.25%-100.00%甲醇-贸易510,252,520.066.63%792,350,002.668.88%-35.60%玻璃-贸易0.00%11,274,940.040.13%-100.00%白糖-贸易0.00%15,090,442.810.17%-100.00%聚丙烯-贸易0.00%10,484,610.040.12%-100.00%锌精矿0.00%25,515,937.450.29%-100.00%其他贸易产品11,742,077.280.15%27,260,363.810.31%-56.93%运输服务、技术服务4,997,512.040.06%11,440,521.270.13%-56.32%其他业务收入74,749,745.180.97%85,084,500.800.95%-12.15%分地区内蒙古地区4,475,220,937.3358.17%5,154,308,836.3757.76%-13.18%河南地区3,213,809,078.7541.77%3,769,273,069.6142.24%-14.74%海南地区4,190,337.700.05%（2）占公司营业收入或营业利润10%以上的行业、产品或地区情况√适用□不适用公司需遵守《深圳证券交易所行业信息披露指引第2号——上市公司从事固体矿产资源相关业务》的披露要求单位：元营业收入营业成本毛利率营业收入比上年同期增减营业成本比上年同期增减毛利率比上年同期增减分行业碱业-自产3,434,785,724.531,478,411,153.3256.96%-8.19%3.24%-4.77%煤炭-自产230,713,460.50298,328,923.44-29.31%-51.98%2.76%-68.89%尿素-自产2,159,849,287.931,356,597,993.9937.19%38.47%65.23%-10.17%甲醇-自产899,415,010.32868,130,105.053.48%-25.25%0.33%-24.60%分产品纯碱-自产2,498,695,382.381,072,373,218.7157.08%-7.22%-2.22%-2.20%小苏打-自产936,090,342.15406,037,934.6156.62%-10.70%21.10%-11.39%煤炭-自产230,713,460.50298,328,923.44-29.31%-51.98%2.76%-68.89%尿素-自产2,159,849,287.931,356,597,993.9937.19%38.47%65.23%-10.17%甲醇-自产899,415,010.32868,130,105.053.48%-25.25%0.33%-24.60%分地区内蒙古地区</w:t>
      </w:r>
      <w:r>
        <w:rPr>
          <w:lang w:eastAsia="zh-CN"/>
        </w:rPr>
        <w:lastRenderedPageBreak/>
        <w:t>4,475,220,937.333,377,227,512.4224.53%-13.18%-10.20%-2.50%河南地区3,213,809,078.751,506,344,274.2953.13%-14.74%2.10%-7.73%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2019年2018年同比增减碱业销售量吨2,379,974.012,415,694.82-1.48%生产量吨2,451,125.512,408,505.431.77%库存量吨127,165.8856,014.37127.02%甲醇销售量吨540,617.37533,817.451.27%生产量吨560,800.92545,207.922.86%库存量吨41,727.4721,543.9293.69%煤炭销售量吨719,466.441,461,589.24-50.78%生产量吨714,818.681,424,429.43-49.82%库存量吨24,685.8029,333.56-15.84%尿素销售量吨1,364,596.52897,414.9652.06%生产量吨1,368,119.53974,742.4440.36%库存量吨102,918.0199,395.003.54%相关数据同比发生变动30%以上的原因说明√适用□不适用煤炭：本期煤炭产量较上年度降幅50.78%，销量降幅49.82%，主要原因为本期煤炭企业煤炭可采面地质条件复杂，产销量较上年度减少。尿素：本期尿素产量较上年度增幅52.06%，销量增幅40.36%，主要原因为本期子公司30/52化肥项目完工进入正式生产状态，产销量较上年度增加。公司需遵守《深圳证券交易所行业信息披露指引第2号——上市公司从事固体矿产资源相关业务》的披露要求行业分类项目单位2019年2018年同比增减碱业销售量吨2,379,974.012,415,694.82-1.48%生产量吨2,451,125.512,408,505.431.77%库存量吨127,165.8856,014.37127.02%煤炭销售量吨719,466.441,461,589.24-50.78%生产量吨714,818.681,424,429.43-49.82%库存量吨24,685.8029,333.56-15.84%（4）公司已签订的重大销售合同截至本报告期的履行情况□适用√不适用（5）营业成本构成产品分类单位：</w:t>
      </w:r>
      <w:proofErr w:type="gramStart"/>
      <w:r>
        <w:rPr>
          <w:lang w:eastAsia="zh-CN"/>
        </w:rPr>
        <w:t>元产品</w:t>
      </w:r>
      <w:proofErr w:type="gramEnd"/>
      <w:r>
        <w:rPr>
          <w:lang w:eastAsia="zh-CN"/>
        </w:rPr>
        <w:t>分类项目2019年2018年同比增减金额占营业成本比重金额占营业成本比重纯碱直接材料849,313,966.5479.20%846,799,638.3477.21%0.30%纯碱直接人工35,864,574.723.34%48,130,625.694.39%-25.48%纯碱制造费用187,194,677.4517.46%201,751,180.4618.40%-7.22%小苏打直接材料304,457,788.3074.98%254,477,967.6775.90%19.64%小苏打直接人工17,817,689.674.39%14,955,992.634.46%19.13%小苏打制造费用83,762,456.6420.63%65,858,981.8719.64%27.18%甲醇直接材料770,164,942.6288.72%767,842,301.4388.74%0.30%甲醇直接人工6,933,366.570.80%5,460,661.810.63%26.97%甲醇制造费用91,031,795.8710.49%92,002,796.4210.63%-1.06%煤炭直接材料26,503,597.168.88%21,775,151.127.50%21.71%煤炭直接人工34,798,248.8611.66%28,699,773.289.89%21.25%煤炭制造费用237,027,077.4279.45%239,835,419.8382.61%-1.17%尿素直接材料846,619,189.9762.41%489,515,760.2759.62%72.95%尿素直接人工68,267,557.775.03%42,695,101.545.20%59.90%尿素制造费用441,711,246.2432.56%288,848,783.0735.18%52.92%说明本期30/52化肥项目正式转入生产经营，尿素生产成本总额增加。（6）报告期内合并范围是否发生变动√是□否1）2019年2月，本公司将持有的内蒙古博源国际农业生产资料有限公司100%股权转让，收回股权转让款，本期不再纳入合并范围。2）2019年3月，本公司设立内蒙古博源银根能源有限</w:t>
      </w:r>
      <w:r>
        <w:rPr>
          <w:lang w:eastAsia="zh-CN"/>
        </w:rPr>
        <w:lastRenderedPageBreak/>
        <w:t>责任公司，注册资本为2,000.00万元，本公司持有其100%股权，截至2019年12月31日，尚未实缴出资，本期纳入合并范围。3）2019年4月，本公司将持有的内蒙古</w:t>
      </w:r>
      <w:proofErr w:type="gramStart"/>
      <w:r>
        <w:rPr>
          <w:lang w:eastAsia="zh-CN"/>
        </w:rPr>
        <w:t>博源丰远</w:t>
      </w:r>
      <w:proofErr w:type="gramEnd"/>
      <w:r>
        <w:rPr>
          <w:lang w:eastAsia="zh-CN"/>
        </w:rPr>
        <w:t>煤业有限公司100%股权转让，收回股权转让款，本期不再纳入合并范围。4）2019年4月，本公司设立海南远兴投资有限公司，注册资本为300.00万元，本公司持有其100%股权，本期纳入合并范围。5）2019年7月，经南阳市桐柏县市场监督管理局核准，本公司的孙公司</w:t>
      </w:r>
      <w:proofErr w:type="gramStart"/>
      <w:r>
        <w:rPr>
          <w:lang w:eastAsia="zh-CN"/>
        </w:rPr>
        <w:t>桐柏绿洁污水处理</w:t>
      </w:r>
      <w:proofErr w:type="gramEnd"/>
      <w:r>
        <w:rPr>
          <w:lang w:eastAsia="zh-CN"/>
        </w:rPr>
        <w:t>有限公司办理了工商注销登记，本期不再纳入合并范围。6）2019年7月，经南阳市桐柏县市场监督管理局核准，本公司的孙公司桐柏中源水</w:t>
      </w:r>
      <w:proofErr w:type="gramStart"/>
      <w:r>
        <w:rPr>
          <w:lang w:eastAsia="zh-CN"/>
        </w:rPr>
        <w:t>务</w:t>
      </w:r>
      <w:proofErr w:type="gramEnd"/>
      <w:r>
        <w:rPr>
          <w:lang w:eastAsia="zh-CN"/>
        </w:rPr>
        <w:t>有限公司办理了工商注销登记，本期不再纳入合并范围。7）2019年7月，经鄂尔多斯市工商行政管理局东胜区分局核准，本公司的子公司鄂尔多斯市今日商贸有限责任公司办理了工商注销登记，本期不再纳入合并范围。8）2019年7月，子公司将持有的乌兰</w:t>
      </w:r>
      <w:proofErr w:type="gramStart"/>
      <w:r>
        <w:rPr>
          <w:lang w:eastAsia="zh-CN"/>
        </w:rPr>
        <w:t>察布市创能清洁</w:t>
      </w:r>
      <w:proofErr w:type="gramEnd"/>
      <w:r>
        <w:rPr>
          <w:lang w:eastAsia="zh-CN"/>
        </w:rPr>
        <w:t>能源有限公司100%股权转让，本期不再纳入合并范围。（7）公司报告期内业务、产品或服务发生重大变化或调整有关情况□适用√不适用（8）主要销售客户和主要供应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1,458,303,410.02前五名客户合计销售金额占年度销售总额比例18.96%前五名客户销售额中关联方销售额占年度销售总额比例0.00%公司前5大客户资料序号客户名称销售额（元）占年度销售总额比例1内蒙古中煤蒙大新能源化工有限公司862,582,430.5211.21%2内蒙古宏韵</w:t>
      </w:r>
      <w:proofErr w:type="gramStart"/>
      <w:r>
        <w:rPr>
          <w:lang w:eastAsia="zh-CN"/>
        </w:rPr>
        <w:t>凯</w:t>
      </w:r>
      <w:proofErr w:type="gramEnd"/>
      <w:r>
        <w:rPr>
          <w:lang w:eastAsia="zh-CN"/>
        </w:rPr>
        <w:t>物流有限公司156,945,602.342.04%3武汉长利玻璃（汉南）有限公司152,339,287.171.98%4中国石油天然气股份有限公司吉林白城销售分公司145,231,073.271.89%5安徽华光光电材料科技集团有限公司141,205,016.721.84%合计--1,458,303,410.0218.96%公司主要供应</w:t>
      </w:r>
      <w:proofErr w:type="gramStart"/>
      <w:r>
        <w:rPr>
          <w:lang w:eastAsia="zh-CN"/>
        </w:rPr>
        <w:t>商情况</w:t>
      </w:r>
      <w:proofErr w:type="gramEnd"/>
      <w:r>
        <w:rPr>
          <w:lang w:eastAsia="zh-CN"/>
        </w:rPr>
        <w:t>前五名供应商合计采购金额（元）1,943,368,739.60前五名供应商合计采购金额占年度采购总额比例39.78%前五名供应商采购额中关联方采购额占年度采购总额比例0.00%公司前5名供应商资料序号供应商名称采购额（元）占年度采购总额比例1中国石油天然气股份有限公司天然气销售内蒙古分公司668,330,158.0413.68%2中煤西北能源有限公司乌审旗分公司494,202,869.0510.12%3大唐能源化工营销有限公司349,760,676.527.16%4内蒙古电力（集团）有限责任公司鄂尔多斯电业局216,741,893.514.44%5南阳市佳之源物资有限公司214,333,142.484.39%合计--1,943,368,739.6039.78%3、费用单位：元2019年2018年同比增减重大变动说明销售费用426,115,943.18478,432,574.90-10.94%本期运费减少管理费用776,822,823.27753,631,624.723.08%财务费用256,238,448.19258,859,043.12-1.01%研发费用128,113,807.18129,968,440.40-1.43%4、研发投入2019年，公司继续加大研发投入，加强与科研院所的合作，突出技术创新，创造了更好的经济效益和社会效益。报告期内研发投入12,811.38万元，占公司最近一期经审计营业收入的1.67%，总额较上年减少1.43%。2019年，天然碱方面，主要实施了基于NaHCO3碱液的湿分解研究与应用、氨盐水碳化反应结晶器技术开发、小苏打产品干燥工艺研究与应用、自动燃烧优化控制系统的研究与开发、套管检验技术在碱类矿床开发中的研究应用等13项研发项目。获得发明专利2项，实用新型专利2项，软件著作权4项。完成脱硝系统的烟气再循环技术研究、高效反应器的设计与应用和产品提质降耗技术研究与应用、深薄层天然碱矿分离</w:t>
      </w:r>
      <w:proofErr w:type="gramStart"/>
      <w:r>
        <w:rPr>
          <w:lang w:eastAsia="zh-CN"/>
        </w:rPr>
        <w:t>提浓技术</w:t>
      </w:r>
      <w:proofErr w:type="gramEnd"/>
      <w:r>
        <w:rPr>
          <w:lang w:eastAsia="zh-CN"/>
        </w:rPr>
        <w:t>的研究与应用四项关键技术的研究和推广应用工作。在增加产品附加值，提升资源利用率、产业链条延伸等方面了实现了新的突破。化肥方面，有机无机复混肥新产品已经登记研发，复合微生物肥料和有机肥已完成研发，准备登记；</w:t>
      </w:r>
      <w:r>
        <w:rPr>
          <w:lang w:eastAsia="zh-CN"/>
        </w:rPr>
        <w:lastRenderedPageBreak/>
        <w:t>与内蒙古农科院合作的课题《水煤浆气化渣复配改土机理及资源化再利用技术研发与应用》，已经在内蒙古自治区科技厅立项；《水煤浆气化渣在土壤调理剂及新型肥料中的综合应用》项目已在鄂尔多斯市科技局立项。实现了产品结构多元化、差异化目标，提升了资源利用率。公司研发投入情况2019年2018年变动比例研发人员数量（人）21017321.39%研发人员数量占比4.21%3.61%0.60%研发投入金额（元）128,113,807.18129,968,440.40-1.43%研发投入占营业收入比例1.67%1.46%0.21%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w:t>
      </w:r>
      <w:proofErr w:type="gramStart"/>
      <w:r>
        <w:rPr>
          <w:lang w:eastAsia="zh-CN"/>
        </w:rPr>
        <w:t>元项目</w:t>
      </w:r>
      <w:proofErr w:type="gramEnd"/>
      <w:r>
        <w:rPr>
          <w:lang w:eastAsia="zh-CN"/>
        </w:rPr>
        <w:t>2019年2018年同比增减经营活动现金流入小计6,689,794,629.636,911,722,947.13-3.21%经营活动现金流出小计5,168,187,130.225,173,170,899.73-0.10%经营活动产生的现金流量净额1,521,607,499.411,738,552,047.40-12.48%投资活动现金流入小计343,086,353.78817,082,075.59-58.01%投资活动现金流出小计1,007,284,767.262,108,192,145.95-52.22%投资活动产生的现金流量净额-664,198,413.48-1,291,110,070.36-48.56%筹资活动现金流入小计5,073,468,418.105,364,799,066.67-5.43%筹资活动现金流出小计5,771,207,300.596,496,392,614.42-11.16%筹资活动产生的现金流量净额-697,738,882.49-1,131,593,547.75-38.34%现金及现金等价物净增加额159,934,110.30-684,059,447.14-123.38%相关数据同比发生重大变动的主要影响因素说明√适用□不适用（1）投资活动现金流入小计较上年度降幅58.01%，主要原因为本报告期收回的理财产品减少。（2）投资活动现金流出小计较上年度降幅52.22%，主要原因为本报告期工程项目购建固定资产、无形资产和其他长期资产支付的现金减少，30/52化肥项目和40万吨小苏打项目已转入固定资产。报告期内公司经营活动产生的现金净流量与本年度净利润存在重大差异的原因说明□适用√不适用三、非主营业务分析√适用□不适用单位：</w:t>
      </w:r>
      <w:proofErr w:type="gramStart"/>
      <w:r>
        <w:rPr>
          <w:lang w:eastAsia="zh-CN"/>
        </w:rPr>
        <w:t>元金额</w:t>
      </w:r>
      <w:proofErr w:type="gramEnd"/>
      <w:r>
        <w:rPr>
          <w:lang w:eastAsia="zh-CN"/>
        </w:rPr>
        <w:t>占利润总额比例形成原因说明是否具有可持续性投资收益214,162,836.7619.39%主要为确认的参股公司投资收益是公允价值变动损益15,883,400.001.44%交易性金融资产公允价值变动收益</w:t>
      </w:r>
      <w:proofErr w:type="gramStart"/>
      <w:r>
        <w:rPr>
          <w:lang w:eastAsia="zh-CN"/>
        </w:rPr>
        <w:t>否</w:t>
      </w:r>
      <w:proofErr w:type="gramEnd"/>
      <w:r>
        <w:rPr>
          <w:lang w:eastAsia="zh-CN"/>
        </w:rPr>
        <w:t>资产减值-133,669,578.20-12.10%计提资产减值准备</w:t>
      </w:r>
      <w:proofErr w:type="gramStart"/>
      <w:r>
        <w:rPr>
          <w:lang w:eastAsia="zh-CN"/>
        </w:rPr>
        <w:t>否</w:t>
      </w:r>
      <w:proofErr w:type="gramEnd"/>
      <w:r>
        <w:rPr>
          <w:lang w:eastAsia="zh-CN"/>
        </w:rPr>
        <w:t>营业外收入8,926,327.660.81%保险理赔</w:t>
      </w:r>
      <w:proofErr w:type="gramStart"/>
      <w:r>
        <w:rPr>
          <w:lang w:eastAsia="zh-CN"/>
        </w:rPr>
        <w:t>否</w:t>
      </w:r>
      <w:proofErr w:type="gramEnd"/>
      <w:r>
        <w:rPr>
          <w:lang w:eastAsia="zh-CN"/>
        </w:rPr>
        <w:t>营业外支出28,308,261.432.56%滞纳金及对外捐赠支出</w:t>
      </w:r>
      <w:proofErr w:type="gramStart"/>
      <w:r>
        <w:rPr>
          <w:lang w:eastAsia="zh-CN"/>
        </w:rPr>
        <w:t>否</w:t>
      </w:r>
      <w:proofErr w:type="gramEnd"/>
      <w:r>
        <w:rPr>
          <w:lang w:eastAsia="zh-CN"/>
        </w:rPr>
        <w:t>信用减值损失-20,246,930.48-1.83%计提应收账款、其他应收款坏账准备否四、资产及负债状况1、资产构成重大变动情况公司2019年起首次执行新金融工具准则、新收入准则或新租赁准则且调整执行当年年初财务报表相关项目√适用□不适用单位：元2019年末2019年初比重增减金额占总资产比例金额占总资产比例重大变动说明货币资金1,983,081,817.308.43%4,497,700,474.5119.01%-10.58%将意图持有至到期的定期、结构性存款等短期理财产品重分类为以摊</w:t>
      </w:r>
      <w:proofErr w:type="gramStart"/>
      <w:r>
        <w:rPr>
          <w:lang w:eastAsia="zh-CN"/>
        </w:rPr>
        <w:t>余成本</w:t>
      </w:r>
      <w:proofErr w:type="gramEnd"/>
      <w:r>
        <w:rPr>
          <w:lang w:eastAsia="zh-CN"/>
        </w:rPr>
        <w:t>计量的金融资产，在“其他流动资产”项目列报。应收账款158,051,830.640.67%167,735,788.610.71%-0.04%存货512,811,756.252.18%400,149,098.511.69%0.49%投资性房地产3,125,201.790.01%3,506,010.630.01%0.00%长期股权投资1,099,104,624.434.67%618,348,096.532.61%2.06%增加对外投资及确认参股公司投资收益固定资产12,671,693,411.8153.88%9,075,556,090.2538.37%15.51%主要原因为本期</w:t>
      </w:r>
      <w:r>
        <w:rPr>
          <w:lang w:eastAsia="zh-CN"/>
        </w:rPr>
        <w:lastRenderedPageBreak/>
        <w:t>30/52化肥项目和40万吨小苏打项目转为固定资产在建工程819,950,044.713.49%4,687,517,729.2319.82%-16.33%主要原因为本期30/52化肥项目和40万吨小苏打项目转为固定资产短期借款4,160,980,688.7117.69%4,363,686,702.4518.45%-0.76%长期借款522,500,000.002.22%371,766,666.741.57%0.65%其他流动资产2,788,335,275.9211.86%297,092,974.401.26%10.60%将意图持有至到期的定期、结构性存款等短期理财产品重分类为以摊</w:t>
      </w:r>
      <w:proofErr w:type="gramStart"/>
      <w:r>
        <w:rPr>
          <w:lang w:eastAsia="zh-CN"/>
        </w:rPr>
        <w:t>余成本</w:t>
      </w:r>
      <w:proofErr w:type="gramEnd"/>
      <w:r>
        <w:rPr>
          <w:lang w:eastAsia="zh-CN"/>
        </w:rPr>
        <w:t>计量的金融资产，在"其他流动资产"项目列报。2、以公允价值计量的资产和负债√适用□不适用单位：</w:t>
      </w:r>
      <w:proofErr w:type="gramStart"/>
      <w:r>
        <w:rPr>
          <w:lang w:eastAsia="zh-CN"/>
        </w:rPr>
        <w:t>元项目期</w:t>
      </w:r>
      <w:proofErr w:type="gramEnd"/>
      <w:r>
        <w:rPr>
          <w:lang w:eastAsia="zh-CN"/>
        </w:rPr>
        <w:t>初数本期公允价值变动损益计入权益的累计公允价值变动本期计提的减值本期购买金额本期出售金额其他变动期末数金融资产1.交易性金融资产（</w:t>
      </w:r>
      <w:proofErr w:type="gramStart"/>
      <w:r>
        <w:rPr>
          <w:lang w:eastAsia="zh-CN"/>
        </w:rPr>
        <w:t>不</w:t>
      </w:r>
      <w:proofErr w:type="gramEnd"/>
      <w:r>
        <w:rPr>
          <w:lang w:eastAsia="zh-CN"/>
        </w:rPr>
        <w:t>10,000,000.0010,000,0000.00含衍生金融资产）.002.衍生金融资产0.003.其他债权投资0.004.其他权益工具投资207,122,805.3347,954,925.-36,804,586.178,067,689.419554金融资产小计217,122,805.3347,954,925.0.000.0010,000,000-36,804,586.178,067,689.4195.0054投资性房地产0.00生产性生物资产0.00其他0.00其他非流动金融资产304,720,000.0015,883,400.104,980,200.425,583,600.000000上述合计521,842,805.3315,883,400.0047,954,925.950.00104,980,200.0010,000,000.00-36,804,586.54603,651,289.41金融负债0.000.000.00其他变动的内容鉴于本年度对参股公司银根矿业具有重大影响，将其重分类至长期股权投资列报。报告期内公司主要资产计量属性是否发生重大变化□是√否3、截至报告期末的资产权利受限情况项目期末账面价值受限原因货币资金338,813,617.80保证金存货32,148,000.00贷款抵押固定资产3,128,255,563.17贷款抵押无形资产290,976,157.10贷款抵押应收款项融资101,075,606.91票据池质押其他流动资产2,517,588,394.42定期及结构性存款质押合计6,408,857,339.40--五、投资状况1、总体情况√适用□不适用报告期投资额（元）上年同期投资额（元）变动幅度1,653,875,913.841,089,985,446.5351.73%2、报告期内获取的重大的股权投资情况□适用√不适用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2016年非公开发行A</w:t>
      </w:r>
      <w:proofErr w:type="gramStart"/>
      <w:r>
        <w:rPr>
          <w:lang w:eastAsia="zh-CN"/>
        </w:rPr>
        <w:t>股</w:t>
      </w:r>
      <w:proofErr w:type="gramEnd"/>
      <w:r>
        <w:rPr>
          <w:lang w:eastAsia="zh-CN"/>
        </w:rPr>
        <w:t>股票257,481.2211,418.82101,603.70187,481.2272.81%155,877.52存放于募集资金专用账户8,032.88合计--257,481.2211,418.82101,603.70187,481.2272.81%155,877.52--8,032.88募集资金总体使用情况说明截至2019年12月31日，本次募集资金总体使用情况为：本次募集资金净额共2,574,812,246.73元，累计按照项目计划补充流动资金700,000,000元；根据2018年10月25日公司七届二十四次董事会决议暂时补充流动资金1,357,342,800.00元；2019年9月24日，公司已将用于补充流动资金的1,357,342,800.00元募集资金全部提前归还至募集资金专项账户；根据2019年9月25日七届三十五次董事会决议暂时补充流动</w:t>
      </w:r>
      <w:r>
        <w:rPr>
          <w:lang w:eastAsia="zh-CN"/>
        </w:rPr>
        <w:lastRenderedPageBreak/>
        <w:t>资金810,000,000元，累计用于中源化学40万吨/年精品小苏打项目316,037,007.78元，存款利息收入21,556,999.19元，其他收款1,700元，支付银行手续费5,092.09元，尚未使用的募集资金净额元，募集资金专户余额770,328,846.05元，该部分资金存放于募集资金专户。（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w:t>
      </w:r>
      <w:proofErr w:type="gramStart"/>
      <w:r>
        <w:rPr>
          <w:lang w:eastAsia="zh-CN"/>
        </w:rPr>
        <w:t>期实现</w:t>
      </w:r>
      <w:proofErr w:type="gramEnd"/>
      <w:r>
        <w:rPr>
          <w:lang w:eastAsia="zh-CN"/>
        </w:rPr>
        <w:t>的效益是否达到预计效益项目可行性是否发生重大变化承诺投资项目内蒙古博源化学有限责任公司50万吨/年合成氨联产50万吨/年尿素、60万吨/</w:t>
      </w:r>
      <w:proofErr w:type="gramStart"/>
      <w:r>
        <w:rPr>
          <w:lang w:eastAsia="zh-CN"/>
        </w:rPr>
        <w:t>年联碱项目</w:t>
      </w:r>
      <w:proofErr w:type="gramEnd"/>
      <w:r>
        <w:rPr>
          <w:lang w:eastAsia="zh-CN"/>
        </w:rPr>
        <w:t>是187,481.220000.00%0否是河南中源化学股份有限公司40万吨/年精品小苏打项目是033,01211,418.8231,603.795.73%2019年07月01日1,332.21是否内蒙古博源化学有限责任公司粗煤气和净是080,179.8000.00%0否</w:t>
      </w:r>
      <w:proofErr w:type="gramStart"/>
      <w:r>
        <w:rPr>
          <w:lang w:eastAsia="zh-CN"/>
        </w:rPr>
        <w:t>否</w:t>
      </w:r>
      <w:proofErr w:type="gramEnd"/>
      <w:r>
        <w:rPr>
          <w:lang w:eastAsia="zh-CN"/>
        </w:rPr>
        <w:t>化气综合利用技改项目（10万吨/年乙二醇技改项目）待定</w:t>
      </w:r>
      <w:proofErr w:type="gramStart"/>
      <w:r>
        <w:rPr>
          <w:lang w:eastAsia="zh-CN"/>
        </w:rPr>
        <w:t>募投项目</w:t>
      </w:r>
      <w:proofErr w:type="gramEnd"/>
      <w:r>
        <w:rPr>
          <w:lang w:eastAsia="zh-CN"/>
        </w:rPr>
        <w:t>是074,289.42000.00%0否</w:t>
      </w:r>
      <w:proofErr w:type="gramStart"/>
      <w:r>
        <w:rPr>
          <w:lang w:eastAsia="zh-CN"/>
        </w:rPr>
        <w:t>否</w:t>
      </w:r>
      <w:proofErr w:type="gramEnd"/>
      <w:r>
        <w:rPr>
          <w:lang w:eastAsia="zh-CN"/>
        </w:rPr>
        <w:t>偿还银行贷款及补充流动资金</w:t>
      </w:r>
      <w:proofErr w:type="gramStart"/>
      <w:r>
        <w:rPr>
          <w:lang w:eastAsia="zh-CN"/>
        </w:rPr>
        <w:t>否</w:t>
      </w:r>
      <w:proofErr w:type="gramEnd"/>
      <w:r>
        <w:rPr>
          <w:lang w:eastAsia="zh-CN"/>
        </w:rPr>
        <w:t>70,00070,000070,000100.00%0是否承诺投资项目小计--257,481.22257,481.2211,418.82101,603.7----1,332.21----超募资金投向无合计--257,481.22257,481.2211,418.82101,603.7----1,332.21----未达到计划进度或预计收益的情况和原因（</w:t>
      </w:r>
      <w:proofErr w:type="gramStart"/>
      <w:r>
        <w:rPr>
          <w:lang w:eastAsia="zh-CN"/>
        </w:rPr>
        <w:t>分具体</w:t>
      </w:r>
      <w:proofErr w:type="gramEnd"/>
      <w:r>
        <w:rPr>
          <w:lang w:eastAsia="zh-CN"/>
        </w:rPr>
        <w:t>项目）内蒙古博源化学有限责任公司粗煤气和净化气综合利用技改项目（10万吨/年乙二醇技改项目）缓建项目可行性发生重大变化的情况说明原</w:t>
      </w:r>
      <w:proofErr w:type="gramStart"/>
      <w:r>
        <w:rPr>
          <w:lang w:eastAsia="zh-CN"/>
        </w:rPr>
        <w:t>募投项目</w:t>
      </w:r>
      <w:proofErr w:type="gramEnd"/>
      <w:r>
        <w:rPr>
          <w:lang w:eastAsia="zh-CN"/>
        </w:rPr>
        <w:t>可行性受煤炭等原材料、大宗建筑材料及设备价格上涨，以及尿素市场复苏缓慢、纯碱市场震荡较大等因素影响已产生了很大变化，原</w:t>
      </w:r>
      <w:proofErr w:type="gramStart"/>
      <w:r>
        <w:rPr>
          <w:lang w:eastAsia="zh-CN"/>
        </w:rPr>
        <w:t>募投项目</w:t>
      </w:r>
      <w:proofErr w:type="gramEnd"/>
      <w:r>
        <w:rPr>
          <w:lang w:eastAsia="zh-CN"/>
        </w:rPr>
        <w:t>前景存在不确定性。公司七届十九次董事会、2018年第四次临时股东大会决定终止原</w:t>
      </w:r>
      <w:proofErr w:type="gramStart"/>
      <w:r>
        <w:rPr>
          <w:lang w:eastAsia="zh-CN"/>
        </w:rPr>
        <w:t>募投项目</w:t>
      </w:r>
      <w:proofErr w:type="gramEnd"/>
      <w:r>
        <w:rPr>
          <w:lang w:eastAsia="zh-CN"/>
        </w:rPr>
        <w:t>并变更部分募集资金用途。超募资金的金额、用途及使用进展情况不适用募集资金投资项目实施地点变更情况适用以前年度发生公司终止</w:t>
      </w:r>
      <w:proofErr w:type="gramStart"/>
      <w:r>
        <w:rPr>
          <w:lang w:eastAsia="zh-CN"/>
        </w:rPr>
        <w:t>原募投项目</w:t>
      </w:r>
      <w:proofErr w:type="gramEnd"/>
      <w:r>
        <w:rPr>
          <w:lang w:eastAsia="zh-CN"/>
        </w:rPr>
        <w:t>“博源化学50万吨/年合成氨联产50万吨/年尿素、60万吨/年联碱项目”，实施地点为鄂尔多斯市乌审旗纳林河工业园区。变更后</w:t>
      </w:r>
      <w:proofErr w:type="gramStart"/>
      <w:r>
        <w:rPr>
          <w:lang w:eastAsia="zh-CN"/>
        </w:rPr>
        <w:t>募投项目</w:t>
      </w:r>
      <w:proofErr w:type="gramEnd"/>
      <w:r>
        <w:rPr>
          <w:lang w:eastAsia="zh-CN"/>
        </w:rPr>
        <w:t>为“中源化学40万吨/年精品小苏打项目”和“博源化学粗煤气和净化气综合利用技改项目”（10万吨/年乙二醇技改项目），实施地点分别为河南省南阳市桐柏</w:t>
      </w:r>
      <w:proofErr w:type="gramStart"/>
      <w:r>
        <w:rPr>
          <w:lang w:eastAsia="zh-CN"/>
        </w:rPr>
        <w:t>县安棚化工</w:t>
      </w:r>
      <w:proofErr w:type="gramEnd"/>
      <w:r>
        <w:rPr>
          <w:lang w:eastAsia="zh-CN"/>
        </w:rPr>
        <w:t>专业园区、鄂尔多斯市乌审旗纳林河工业园区。募集资金投资项目实施方式调整情况适用以前年度发生公司终止</w:t>
      </w:r>
      <w:proofErr w:type="gramStart"/>
      <w:r>
        <w:rPr>
          <w:lang w:eastAsia="zh-CN"/>
        </w:rPr>
        <w:t>原募投项目</w:t>
      </w:r>
      <w:proofErr w:type="gramEnd"/>
      <w:r>
        <w:rPr>
          <w:lang w:eastAsia="zh-CN"/>
        </w:rPr>
        <w:t>“博源化学50万吨/年合成氨联产50万吨/年尿素、60万吨/年联碱项目”，变更后</w:t>
      </w:r>
      <w:proofErr w:type="gramStart"/>
      <w:r>
        <w:rPr>
          <w:lang w:eastAsia="zh-CN"/>
        </w:rPr>
        <w:t>募投项目</w:t>
      </w:r>
      <w:proofErr w:type="gramEnd"/>
      <w:r>
        <w:rPr>
          <w:lang w:eastAsia="zh-CN"/>
        </w:rPr>
        <w:t>为“中源化学40万吨/年精品小苏打项目”和“博源化学粗煤气和净化气综合利用技改项目”（10万吨/年乙二醇技改项目），募集资金投资项目实施方式发生变更。募集资金投资项目先期投入及置换情况不适用用闲置募集资金暂时补充流动资金情况适用2019年9月25日，公司召开七届三十五次董事会审议通过的《关于使用部分闲置募集资金暂时补充流动资金的议案》，同意公司使用不超过120,000.00万元人民币的闲置募集资金暂时用于补充流动资金，使用期限自董事会审议通过之日起不超过12个月。截至2019年12月31日，公司使用暂时闲置募集资金暂时用于补充流动资金81,000.00万元。项目实施出现募集资金结余的金额及原因不适用。尚未使用的募集资金用途及去向尚未使用的募集资金在募集资金专用账户存放和管理。募集资金使用及披露中存在的问题或其他情况上表中河南中源化学股份有限公司40万吨/年精品小苏打项目本报告</w:t>
      </w:r>
      <w:proofErr w:type="gramStart"/>
      <w:r>
        <w:rPr>
          <w:lang w:eastAsia="zh-CN"/>
        </w:rPr>
        <w:t>期实现</w:t>
      </w:r>
      <w:proofErr w:type="gramEnd"/>
      <w:r>
        <w:rPr>
          <w:lang w:eastAsia="zh-CN"/>
        </w:rPr>
        <w:t>的效益1,332.21万元为毛利润。（3）募集资金变更项目情况√适用□不适用单位：万元变更后的项目对应的原承诺项目变更后项目拟投入募集资金总额(1)本报告期实</w:t>
      </w:r>
      <w:r>
        <w:rPr>
          <w:lang w:eastAsia="zh-CN"/>
        </w:rPr>
        <w:lastRenderedPageBreak/>
        <w:t>际投入金额截至期末实际累计投入金额(2)截至期末投资进度(3)=(2)/(1)项目达到预定可使用状态日期本报告</w:t>
      </w:r>
      <w:proofErr w:type="gramStart"/>
      <w:r>
        <w:rPr>
          <w:lang w:eastAsia="zh-CN"/>
        </w:rPr>
        <w:t>期实现</w:t>
      </w:r>
      <w:proofErr w:type="gramEnd"/>
      <w:r>
        <w:rPr>
          <w:lang w:eastAsia="zh-CN"/>
        </w:rPr>
        <w:t>的效益是否达到预计效益变更后的项目可行性是否发生重大变化河南中源化内蒙古博源化33,01211,418.8231,603.795.73%2019年07月01日1,332.21是否学有限责任公学股份有限公司40万吨/年精品司50万吨/年合成氨联产50万吨/年尿素、60小苏打项目万吨/</w:t>
      </w:r>
      <w:proofErr w:type="gramStart"/>
      <w:r>
        <w:rPr>
          <w:lang w:eastAsia="zh-CN"/>
        </w:rPr>
        <w:t>年联碱项目</w:t>
      </w:r>
      <w:proofErr w:type="gramEnd"/>
      <w:r>
        <w:rPr>
          <w:lang w:eastAsia="zh-CN"/>
        </w:rPr>
        <w:t>内蒙古博源内蒙古博源化80,179.8000.00%0否</w:t>
      </w:r>
      <w:proofErr w:type="gramStart"/>
      <w:r>
        <w:rPr>
          <w:lang w:eastAsia="zh-CN"/>
        </w:rPr>
        <w:t>否</w:t>
      </w:r>
      <w:proofErr w:type="gramEnd"/>
      <w:r>
        <w:rPr>
          <w:lang w:eastAsia="zh-CN"/>
        </w:rPr>
        <w:t>化学有限责任公司粗煤学有限责任公气和</w:t>
      </w:r>
      <w:proofErr w:type="gramStart"/>
      <w:r>
        <w:rPr>
          <w:lang w:eastAsia="zh-CN"/>
        </w:rPr>
        <w:t>净化气司50万吨</w:t>
      </w:r>
      <w:proofErr w:type="gramEnd"/>
      <w:r>
        <w:rPr>
          <w:lang w:eastAsia="zh-CN"/>
        </w:rPr>
        <w:t>/</w:t>
      </w:r>
      <w:proofErr w:type="gramStart"/>
      <w:r>
        <w:rPr>
          <w:lang w:eastAsia="zh-CN"/>
        </w:rPr>
        <w:t>年合综合利用技成</w:t>
      </w:r>
      <w:proofErr w:type="gramEnd"/>
      <w:r>
        <w:rPr>
          <w:lang w:eastAsia="zh-CN"/>
        </w:rPr>
        <w:t>氨联产50万改项目（10吨/年尿素、60万吨/</w:t>
      </w:r>
      <w:proofErr w:type="gramStart"/>
      <w:r>
        <w:rPr>
          <w:lang w:eastAsia="zh-CN"/>
        </w:rPr>
        <w:t>年乙万吨</w:t>
      </w:r>
      <w:proofErr w:type="gramEnd"/>
      <w:r>
        <w:rPr>
          <w:lang w:eastAsia="zh-CN"/>
        </w:rPr>
        <w:t>/</w:t>
      </w:r>
      <w:proofErr w:type="gramStart"/>
      <w:r>
        <w:rPr>
          <w:lang w:eastAsia="zh-CN"/>
        </w:rPr>
        <w:t>年联碱项</w:t>
      </w:r>
      <w:proofErr w:type="gramEnd"/>
      <w:r>
        <w:rPr>
          <w:lang w:eastAsia="zh-CN"/>
        </w:rPr>
        <w:t>二醇技改项目</w:t>
      </w:r>
      <w:proofErr w:type="gramStart"/>
      <w:r>
        <w:rPr>
          <w:lang w:eastAsia="zh-CN"/>
        </w:rPr>
        <w:t>目</w:t>
      </w:r>
      <w:proofErr w:type="gramEnd"/>
      <w:r>
        <w:rPr>
          <w:lang w:eastAsia="zh-CN"/>
        </w:rPr>
        <w:t>）待定</w:t>
      </w:r>
      <w:proofErr w:type="gramStart"/>
      <w:r>
        <w:rPr>
          <w:lang w:eastAsia="zh-CN"/>
        </w:rPr>
        <w:t>募投项目</w:t>
      </w:r>
      <w:proofErr w:type="gramEnd"/>
      <w:r>
        <w:rPr>
          <w:lang w:eastAsia="zh-CN"/>
        </w:rPr>
        <w:t>内蒙古博源化74,289.42000.00%0否</w:t>
      </w:r>
      <w:proofErr w:type="gramStart"/>
      <w:r>
        <w:rPr>
          <w:lang w:eastAsia="zh-CN"/>
        </w:rPr>
        <w:t>否</w:t>
      </w:r>
      <w:proofErr w:type="gramEnd"/>
      <w:r>
        <w:rPr>
          <w:lang w:eastAsia="zh-CN"/>
        </w:rPr>
        <w:t>学有限责任公司50万吨/年合成氨联产50万吨/年尿素、60万吨/</w:t>
      </w:r>
      <w:proofErr w:type="gramStart"/>
      <w:r>
        <w:rPr>
          <w:lang w:eastAsia="zh-CN"/>
        </w:rPr>
        <w:t>年联碱项目</w:t>
      </w:r>
      <w:proofErr w:type="gramEnd"/>
      <w:r>
        <w:rPr>
          <w:lang w:eastAsia="zh-CN"/>
        </w:rPr>
        <w:t>合计--187,481.2211,418.8231,603.7----1,332.21----原</w:t>
      </w:r>
      <w:proofErr w:type="gramStart"/>
      <w:r>
        <w:rPr>
          <w:lang w:eastAsia="zh-CN"/>
        </w:rPr>
        <w:t>募投项目</w:t>
      </w:r>
      <w:proofErr w:type="gramEnd"/>
      <w:r>
        <w:rPr>
          <w:lang w:eastAsia="zh-CN"/>
        </w:rPr>
        <w:t>可行性受煤炭等原材料、大宗建筑材料及设备价格上涨，以及尿素市场复变更原因、决策程序及信息披露情况说明(</w:t>
      </w:r>
      <w:proofErr w:type="gramStart"/>
      <w:r>
        <w:rPr>
          <w:lang w:eastAsia="zh-CN"/>
        </w:rPr>
        <w:t>分具体</w:t>
      </w:r>
      <w:proofErr w:type="gramEnd"/>
      <w:r>
        <w:rPr>
          <w:lang w:eastAsia="zh-CN"/>
        </w:rPr>
        <w:t>项目)苏缓慢、纯碱市场震荡较大等因素影响已产生了很大变化，原</w:t>
      </w:r>
      <w:proofErr w:type="gramStart"/>
      <w:r>
        <w:rPr>
          <w:lang w:eastAsia="zh-CN"/>
        </w:rPr>
        <w:t>募投项目</w:t>
      </w:r>
      <w:proofErr w:type="gramEnd"/>
      <w:r>
        <w:rPr>
          <w:lang w:eastAsia="zh-CN"/>
        </w:rPr>
        <w:t>前景存在不确定性。公司七届十九次董事会、2018年第四次临时股东大会决定终止原</w:t>
      </w:r>
      <w:proofErr w:type="gramStart"/>
      <w:r>
        <w:rPr>
          <w:lang w:eastAsia="zh-CN"/>
        </w:rPr>
        <w:t>募投项目</w:t>
      </w:r>
      <w:proofErr w:type="gramEnd"/>
      <w:r>
        <w:rPr>
          <w:lang w:eastAsia="zh-CN"/>
        </w:rPr>
        <w:t>并变更部分募集资金用途。公司于2018年7月3日在巨潮资讯网披露了《关于终止原募投项目并变更部分募集资金用途的公告》（公告编号：临2018-053）。未达到计划进度或预计收益的情况和原因(</w:t>
      </w:r>
      <w:proofErr w:type="gramStart"/>
      <w:r>
        <w:rPr>
          <w:lang w:eastAsia="zh-CN"/>
        </w:rPr>
        <w:t>分具体</w:t>
      </w:r>
      <w:proofErr w:type="gramEnd"/>
      <w:r>
        <w:rPr>
          <w:lang w:eastAsia="zh-CN"/>
        </w:rPr>
        <w:t>项目)内蒙古博源化学有限责任公司粗煤气和净化气综合利用技改项目（10万吨/年乙二醇技改项目）缓建。变更后的项目可行性发生重大变化的情况说明不适用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河南中源化学股份有限公司子公司化工1,174,000,000.0012,287,449,798.935,482,845,770.243,946,638,715.411,107,400,314.46884,160,993.93内蒙古博源煤化工有限责任公司子公司煤炭开采372,980,000.001,687,581,030.90708,264,139.15239,574,904.74-246,588,645.10-213,376,241.55内蒙古博源联合化工有限公司子公司化工650,000,000.00626,168,890.74221,237,860.961,026,791,631.09-63,301,787.06-60,977,925.24内蒙古博大实地化学有限公司子公司化工1,777,000,000.004,808,303,530.652,362,621,880.241,832,854,636.27319,549,489.23275,540,851.26报告期内取得和处置子公司的情况√适用□不适用公司名称报告期内取得和处置子公司方式对整体生产经营和业绩的影响内蒙古博源国际农业生产资料有限公司出售影响本期利润0.15万元内蒙古</w:t>
      </w:r>
      <w:proofErr w:type="gramStart"/>
      <w:r>
        <w:rPr>
          <w:lang w:eastAsia="zh-CN"/>
        </w:rPr>
        <w:t>博源丰远</w:t>
      </w:r>
      <w:proofErr w:type="gramEnd"/>
      <w:r>
        <w:rPr>
          <w:lang w:eastAsia="zh-CN"/>
        </w:rPr>
        <w:t>煤业有限公司出售乌兰</w:t>
      </w:r>
      <w:proofErr w:type="gramStart"/>
      <w:r>
        <w:rPr>
          <w:lang w:eastAsia="zh-CN"/>
        </w:rPr>
        <w:t>察布市创能清洁</w:t>
      </w:r>
      <w:proofErr w:type="gramEnd"/>
      <w:r>
        <w:rPr>
          <w:lang w:eastAsia="zh-CN"/>
        </w:rPr>
        <w:t>能源有限公司出售影响本期利润760.73万元八、公司控制的结构化主体情况□适用√不适用九、公司未来发展的展望（一）公司发展战略坚持以资源为依托，以市场为导向、以科技为支撑，以诚实守信为根本准则，推动产业立企、科技强企、人才兴企、</w:t>
      </w:r>
      <w:proofErr w:type="gramStart"/>
      <w:r>
        <w:rPr>
          <w:lang w:eastAsia="zh-CN"/>
        </w:rPr>
        <w:t>文化塑企战略</w:t>
      </w:r>
      <w:proofErr w:type="gramEnd"/>
      <w:r>
        <w:rPr>
          <w:lang w:eastAsia="zh-CN"/>
        </w:rPr>
        <w:t>，聚焦天然碱主业，充分发挥天然碱资源优势和成本技术优势，致力于将公司发展成为国内</w:t>
      </w:r>
      <w:r w:rsidRPr="002F455F">
        <w:rPr>
          <w:lang w:eastAsia="zh-CN"/>
        </w:rPr>
        <w:t>纯碱</w:t>
      </w:r>
      <w:r>
        <w:rPr>
          <w:lang w:eastAsia="zh-CN"/>
        </w:rPr>
        <w:t>行业龙头企业，实现公司持续、稳健、高质量发展。（二）公司经营计划1、全面统筹好疫情防控和生产经营工作。提高疫情防控政治站位，强化责任担当，不麻痹大意，不放松泄劲，坚决实现“零感染”的疫情防控目标。同时密切跟踪分析疫情对行业、公司带来的影响，抓紧研究预判疫情过后市场恢复性增长可能带来的机遇，提前制定务实管用的应对</w:t>
      </w:r>
      <w:r>
        <w:rPr>
          <w:lang w:eastAsia="zh-CN"/>
        </w:rPr>
        <w:lastRenderedPageBreak/>
        <w:t>措施，进一步加大降本节支、提质增效工作力度，千方百计加快推进重点项目建设，用好、用足疫情期间各级政府部门出台的支持实体经济发展的相关政策，尽最大努力降低疫情造成的损失。2、进一步夯实安全生产和环境保护基础工作。安全环保是企业的生命线，公司将坚定不移地把安全生产和环保工作置于公司战略高度，进一步强化安全环保的“红线”意识和“底线”思维，压实主体责任，依规合法，做好做实。不断加大新设备、新技术、新工艺的投入力度，切实提高安全环保工作水平，正确处理好安全环保、生产、效益之间的关系，形成三者互为促进、相辅相成的良好局面。3、全面抓好生产经营和项目建设工作。本着“质量优先”的原则，组织好企业的</w:t>
      </w:r>
      <w:r w:rsidRPr="002F455F">
        <w:rPr>
          <w:lang w:eastAsia="zh-CN"/>
        </w:rPr>
        <w:t>生产运行，制定“质量提升规划”，加大投入，分步实施，稳步提升产品质量和品牌影响力。提升操作技能水平、工艺管理和设备标准化管理水平，进一步提升装置的有效运行率。重点抓好博源煤化工</w:t>
      </w:r>
      <w:proofErr w:type="gramStart"/>
      <w:r w:rsidRPr="002F455F">
        <w:rPr>
          <w:lang w:eastAsia="zh-CN"/>
        </w:rPr>
        <w:t>二水平</w:t>
      </w:r>
      <w:proofErr w:type="gramEnd"/>
      <w:r w:rsidRPr="002F455F">
        <w:rPr>
          <w:lang w:eastAsia="zh-CN"/>
        </w:rPr>
        <w:t>项目建设，解决采面接续和持续运营的问题，力争年底建成，2021年产能全面恢复。技改技</w:t>
      </w:r>
      <w:proofErr w:type="gramStart"/>
      <w:r w:rsidRPr="002F455F">
        <w:rPr>
          <w:lang w:eastAsia="zh-CN"/>
        </w:rPr>
        <w:t>措</w:t>
      </w:r>
      <w:proofErr w:type="gramEnd"/>
      <w:r w:rsidRPr="002F455F">
        <w:rPr>
          <w:lang w:eastAsia="zh-CN"/>
        </w:rPr>
        <w:t>项目重点围绕“提升安全环保水平、提高产品质量、新产品研发”三个方向开展工作。4、优化完善管理体制、机制。采供管理方面，利用大数据管理，逐步实现物资采购、出入库的“数字化管理”，通过集中采购、生产厂家直供等方式实现向供应商要服务、要质量、要效益的目标。营销管理方面，进一步健全营销管理制度，理顺营销管理机制，完善营销激励措施，逐步建立起符合公司自身特点的新的营销模式。创新管理方面，围绕战略目标确定技术创新的主攻方向，制定技术创新规划，梳理、完善技术创新机制，培养技术创新队伍，通过自主创新、协同创新、产学研结合等多种方式加快科技成果的产生和转化。5、强化内控建设和监督检查，进一步提升规范运作水平。比照新《证券法》及相关配套规则，结合内控制度的修订和运行，充分发挥内审机构的职能作用，</w:t>
      </w:r>
      <w:r>
        <w:rPr>
          <w:lang w:eastAsia="zh-CN"/>
        </w:rPr>
        <w:t>对规范运作进行全面、系统地自查，确保内控制度学习宣贯到位，执行落实到位，对</w:t>
      </w:r>
      <w:proofErr w:type="gramStart"/>
      <w:r>
        <w:rPr>
          <w:lang w:eastAsia="zh-CN"/>
        </w:rPr>
        <w:t>标先进</w:t>
      </w:r>
      <w:proofErr w:type="gramEnd"/>
      <w:r>
        <w:rPr>
          <w:lang w:eastAsia="zh-CN"/>
        </w:rPr>
        <w:t>上市公司，找漏洞，补短板，把公司规范运作提升到新的、更高的水平。6、全面提升信息披露质量和水平。新《证券法》明确证券发行逐步由核准制过渡到注册制，注册制的核心就是以信息披露为中心。公司将坚持底线思维、确保信息披露依法合</w:t>
      </w:r>
      <w:proofErr w:type="gramStart"/>
      <w:r>
        <w:rPr>
          <w:lang w:eastAsia="zh-CN"/>
        </w:rPr>
        <w:t>规</w:t>
      </w:r>
      <w:proofErr w:type="gramEnd"/>
      <w:r>
        <w:rPr>
          <w:lang w:eastAsia="zh-CN"/>
        </w:rPr>
        <w:t>，同时顺应市场发展形势，适度增加自愿性信息披露，向投资者传递公司经营战略和长期发展等相关信息，引导市场形成长期预期。同时进一步优化工作机制和业务</w:t>
      </w:r>
      <w:r w:rsidRPr="002F455F">
        <w:rPr>
          <w:lang w:eastAsia="zh-CN"/>
        </w:rPr>
        <w:t>流程，实现信息披露领域和环节全覆盖，确保信息流转畅通，口径把握准确，披露适时恰当。7、加强企业党建和企业文化建设。公司将继续坚持“围绕发展抓党建、抓好党建促发展”的总体思路，创新工作思路和工作方法，切实促进党建工作与生产经营的融合和互促共进。优化组织体系，规范运行机制，不断夯实党建工作的基础，以高质量的党建工作推动公司实现高质量发展。坚持企业文化与时俱进，形成与发展相结合、与管理相协调、与人本相呼应的文化体系。（三）可能面对的风险及措施1、行业风险公司所处行业竞争激烈，产品同质化严重，与国民经济息息相关，受国家、行业政策及经济运行周期等因素影响，若国家、行业政策及经济环境发生变化，将影响公司的营运成本。公司将加强对宏观经济分析，密切关注宏观经济和国家政策走势，结合市场情况，及时调整产品结构，不断加大技术创新投入和新产品研发力度，通过差异化战略，提升产品附加值和市场竞争力，实现公司高质量持续发展。2、安全环保</w:t>
      </w:r>
      <w:r>
        <w:rPr>
          <w:lang w:eastAsia="zh-CN"/>
        </w:rPr>
        <w:t>风险随着国家环保政策的日益严格，虽然公司在安全环保方面做了大量投入和技改工作，仍面临一定的安全环保风险。公司将牢固树立安全环保工作的“红线”意识和“底线”思维，依法依规组织生产。一要落实主体责任，对标管理，对标检查；二要强化环保设施精细化操作，量化管</w:t>
      </w:r>
      <w:r>
        <w:rPr>
          <w:lang w:eastAsia="zh-CN"/>
        </w:rPr>
        <w:lastRenderedPageBreak/>
        <w:t>理污染物排放指标，实现环保设施正常运行率100%，污染物指标达标排放率100%，各类污染物处置方式依法合</w:t>
      </w:r>
      <w:proofErr w:type="gramStart"/>
      <w:r>
        <w:rPr>
          <w:lang w:eastAsia="zh-CN"/>
        </w:rPr>
        <w:t>规</w:t>
      </w:r>
      <w:proofErr w:type="gramEnd"/>
      <w:r>
        <w:rPr>
          <w:lang w:eastAsia="zh-CN"/>
        </w:rPr>
        <w:t>率100%；三要抓安全环保教育活动，加强事故预想和应急演练，建立健全安全环保应急处理长效机制；四要强化安全环保责任制和各项规章制度的落实，把责任层层分解，严格执行“安全问责，一票否决”。十、接待调研、沟通、采访等活动情况1、报告期内接待调研、沟通、采访等活动登记表√适用□不适用接待时间接待方式接待对象类型调研的基本情况索引2019年12月31日电话沟通个人报告期内接待投资者电话沟通300余次，主要咨询公司报告期的经营情况、行业发展状况、回购股份、股权激励、股价变动和公司业绩等情况，未提供材料。接待次数300接待机构数量0接待个人数量300接待其他对象数量0是否披露、透露或泄露未公开重大信息</w:t>
      </w:r>
      <w:proofErr w:type="gramStart"/>
      <w:r>
        <w:rPr>
          <w:lang w:eastAsia="zh-CN"/>
        </w:rPr>
        <w:t>否</w:t>
      </w:r>
      <w:proofErr w:type="gramEnd"/>
    </w:p>
    <w:p w14:paraId="19BBAE31" w14:textId="77777777" w:rsidR="008C2D0F" w:rsidRDefault="00000000">
      <w:pPr>
        <w:rPr>
          <w:lang w:eastAsia="zh-CN"/>
        </w:rPr>
      </w:pPr>
      <w:r>
        <w:rPr>
          <w:rFonts w:hint="eastAsia"/>
          <w:lang w:eastAsia="zh-CN"/>
        </w:rPr>
        <w:t>标签数量：13</w:t>
      </w:r>
    </w:p>
    <w:sectPr w:rsidR="008C2D0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46AF2" w14:textId="77777777" w:rsidR="00010E77" w:rsidRDefault="00010E77">
      <w:pPr>
        <w:spacing w:line="240" w:lineRule="auto"/>
      </w:pPr>
      <w:r>
        <w:separator/>
      </w:r>
    </w:p>
  </w:endnote>
  <w:endnote w:type="continuationSeparator" w:id="0">
    <w:p w14:paraId="4A13C61A" w14:textId="77777777" w:rsidR="00010E77" w:rsidRDefault="00010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1EE5C" w14:textId="77777777" w:rsidR="00010E77" w:rsidRDefault="00010E77">
      <w:pPr>
        <w:spacing w:after="0"/>
      </w:pPr>
      <w:r>
        <w:separator/>
      </w:r>
    </w:p>
  </w:footnote>
  <w:footnote w:type="continuationSeparator" w:id="0">
    <w:p w14:paraId="76858724" w14:textId="77777777" w:rsidR="00010E77" w:rsidRDefault="00010E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981768262">
    <w:abstractNumId w:val="1"/>
  </w:num>
  <w:num w:numId="2" w16cid:durableId="959845402">
    <w:abstractNumId w:val="4"/>
  </w:num>
  <w:num w:numId="3" w16cid:durableId="706293373">
    <w:abstractNumId w:val="5"/>
  </w:num>
  <w:num w:numId="4" w16cid:durableId="1724018407">
    <w:abstractNumId w:val="2"/>
  </w:num>
  <w:num w:numId="5" w16cid:durableId="943654186">
    <w:abstractNumId w:val="0"/>
  </w:num>
  <w:num w:numId="6" w16cid:durableId="336855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10E77"/>
    <w:rsid w:val="00034616"/>
    <w:rsid w:val="0006063C"/>
    <w:rsid w:val="0015074B"/>
    <w:rsid w:val="0029639D"/>
    <w:rsid w:val="002F455F"/>
    <w:rsid w:val="00326F90"/>
    <w:rsid w:val="008C2D0F"/>
    <w:rsid w:val="00AA1D8D"/>
    <w:rsid w:val="00B47730"/>
    <w:rsid w:val="00CB0664"/>
    <w:rsid w:val="00FC693F"/>
    <w:rsid w:val="159B3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DAFF7E"/>
  <w14:defaultImageDpi w14:val="300"/>
  <w15:docId w15:val="{165136D4-71A4-4FD9-9101-BE323C25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lsdException w:name="Medium Grid 3" w:uiPriority="69"/>
    <w:lsdException w:name="Dark List" w:uiPriority="70" w:qFormat="1"/>
    <w:lsdException w:name="Colorful Shading" w:uiPriority="71" w:qFormat="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qFormat="1"/>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qFormat="1"/>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qFormat="1"/>
    <w:lsdException w:name="Colorful Shading Accent 4" w:uiPriority="71"/>
    <w:lsdException w:name="Colorful List Accent 4" w:uiPriority="72"/>
    <w:lsdException w:name="Colorful Grid Accent 4" w:uiPriority="73" w:qFormat="1"/>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qFormat="1"/>
    <w:lsdException w:name="Medium List 2 Accent 5" w:uiPriority="66"/>
    <w:lsdException w:name="Medium Grid 1 Accent 5" w:uiPriority="67" w:qFormat="1"/>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2453</Words>
  <Characters>13984</Characters>
  <Application>Microsoft Office Word</Application>
  <DocSecurity>0</DocSecurity>
  <Lines>116</Lines>
  <Paragraphs>32</Paragraphs>
  <ScaleCrop>false</ScaleCrop>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7D8A52EFA0C14218BD9B2A0B5B47D4A1</vt:lpwstr>
  </property>
</Properties>
</file>