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9AA7" w14:textId="77777777" w:rsidR="000B246F" w:rsidRDefault="00000000">
      <w:pPr>
        <w:rPr>
          <w:lang w:eastAsia="zh-CN"/>
        </w:rPr>
      </w:pPr>
      <w:r>
        <w:rPr>
          <w:lang w:eastAsia="zh-CN"/>
        </w:rPr>
        <w:t>第四节董</w:t>
      </w:r>
      <w:r w:rsidRPr="009548A3">
        <w:rPr>
          <w:lang w:eastAsia="zh-CN"/>
        </w:rPr>
        <w:t>事会报告一、概述2014年，我国经济处于向新常态过渡阶段。在汽车市场增速逐步放缓的大背景下，自主品牌与合资品牌的竞争加剧，虽然乘用车销量保持较快增长势头，但自主品牌市场表现较为低迷，市场份额持续下滑。严峻的宏观经济形势和市场环境，给公司生产经营带来了前所未有的压力和挑战。公司董事会和管理层紧紧围绕年度经营思路和目标，把握汽车行业转型升级期，加速产品结构调整，拓展中高端产品市场；加快技术改造和技术创新步伐，努力提升装备和技术水平；深入推行精益管理模式，整合有效资源，实现运营效率的提升；引入先进的质量管理模式，努力提升产品质量；狠抓品牌建设，提升公司品牌形象。同时，全力推进公司非公开发行股票各项工作的完成，并于2014年7</w:t>
      </w:r>
      <w:r>
        <w:rPr>
          <w:lang w:eastAsia="zh-CN"/>
        </w:rPr>
        <w:t>月2日顺利实现新增股份的上市。报告期内，公司实现营业总收入40,528.74万元，同比下降8.47%；实现净利润1,817.84万元，同比下降66.99%。造成净利润下降的主要原因：一是债务重组利得收益较上年同期减少；二是报告期内主营业务收入和毛利率同比略有下降。二、主营业务分析1、概述报告期内，公司实现曲轴销量142.06万件，较上年同期下降12.68%；实现主营业务收入37,565.4万元，较上年同期下降11.53%。造成下降的主要原因：一是由于公司主要客户为自主品牌整车厂，受自主品牌轿车同比下降17.4%影响；二是客户自建曲轴生产线陆续量产，压缩了公司的部分市场份额。公司回顾总结前期披露的发展战略和经营计划在报告期内的进展情况2014年，面对自主品牌汽车市场表现低迷和份额下滑，竞争日趋白热</w:t>
      </w:r>
      <w:r w:rsidRPr="009548A3">
        <w:rPr>
          <w:lang w:eastAsia="zh-CN"/>
        </w:rPr>
        <w:t>化的形势，公司积极应对困难和挑战。报告期内，公司着力推动以下主要工作并取得显着成效：——顺利完成非公开发行股票。为进一步优化公司资本结构，提升公司资本实力，改善财务状况，夯实主营业务做大做强基础，增强持续盈利能力、抵御风险能力和市场整体竞争力，公司于2013年3月启动非公开发行股票工作，经过一年多材料准备、方案申报及审批，2014年7月2日公司新增股份在深圳证券交易所上市，标志着本次非公开发行工作顺利结束。——准确把握行业转型升级期，及时调整产品结构，开发新产品，拓展新市场。面对自主品牌汽车市场的连续下滑，公司主动掌握客户产品信息，及时调整产品结构，全年</w:t>
      </w:r>
      <w:r w:rsidRPr="009548A3">
        <w:rPr>
          <w:highlight w:val="red"/>
          <w:lang w:eastAsia="zh-CN"/>
        </w:rPr>
        <w:t>轿车</w:t>
      </w:r>
      <w:r w:rsidRPr="009548A3">
        <w:rPr>
          <w:lang w:eastAsia="zh-CN"/>
        </w:rPr>
        <w:t>、</w:t>
      </w:r>
      <w:r w:rsidRPr="009548A3">
        <w:rPr>
          <w:highlight w:val="red"/>
          <w:lang w:eastAsia="zh-CN"/>
        </w:rPr>
        <w:t>轻型车曲轴占</w:t>
      </w:r>
      <w:r w:rsidRPr="009548A3">
        <w:rPr>
          <w:lang w:eastAsia="zh-CN"/>
        </w:rPr>
        <w:t>比同比提高2.43个百分点；完成30余个新产品开发；先后成功开发广汽等新客户，并已形成量产，有效增强了公司的可持续发展能力。——加大技术改造力度，持续优化工艺，装备水平、工艺水平上新台阶。报告期内，完成部分生产线装备的升级，大力实施工艺、工装改进和技术创新，推行防错、防呆技术和简易自动化或简便自动化改造。提高了自动化水平和劳动效率，降低了制造</w:t>
      </w:r>
      <w:r>
        <w:rPr>
          <w:lang w:eastAsia="zh-CN"/>
        </w:rPr>
        <w:t>成本，提升了轿车曲轴品质和市场竞争力。——深入推进精益生产管理，成效明显。报告期内，重点推进产品全面质量管理、产线配置、标准作业、物流等方面的培训和横展，机加工废品率进一步下降。持续开展改善提案、合理化建议等活动，为实现公司提质上等、节能降耗、省人增效等经营目标作出了成效。——引进先进质量技术管理手段，提升产品实物质量。引进CA－QIP质量管理模式，建立以顾客需求为导向和质量问题快速反应的机制，不断改进和提升产品实物质量，以产品零缺陷为终极目标，不断提升客户满意度。——完善内部管理制度，扎实推进内控体系建设。为提高公司生产经营管理水平和防范风险的能力，报告期内，公司全面评估内控运行状况，及时修订完善管理制度，使制度和流程更规范、更科学、更具有可操作性。公司实际经营业绩较曾公开披露过的本年度盈利预测低于或高于20%以上的差异原因□适用√不适用主要经营模式的变化情况□适用√不适用2、收入说明报告期内，公司实现曲轴销量142.06万件，较上年同期下降12.68%；实现主营</w:t>
      </w:r>
      <w:r>
        <w:rPr>
          <w:lang w:eastAsia="zh-CN"/>
        </w:rPr>
        <w:lastRenderedPageBreak/>
        <w:t>业务收入37,565.4万元，较上年同期下降11.53%。造成下降的主要原因：一是由于公司主要客户为自主品牌整车厂，受自主品牌轿车同比下降17.4%影响；二是客户自建曲轴生产线陆续量产，压缩了公司的部分市场份额。公司实物销售收入是否大于劳务收入√是□否相关数据同比发生变动30%以上的原因说明□适用√不适用公司重大的在手订单情况□适用√不适用公司报告期内产品或服务发生重大变化或调整有关情况□适用√不适用公司主要销售客户情况公司前5大客户资料√适用□不适用主要客户其他情况说明□适用√不适用3、成本行业分类单位：元产品分类单位：元说明报告期内主营业务成本比上期减少2,402.8万元，减少比例7.97%，主要原因有两点：一、销量有所下降；二、公司加强产品结构调整使成本下降。公司主要供应商情况公司前5名供应商资料√适用□不适用主要供应商其他情况说明□适用√不适用4、费用报告期内，公司三项费用比上期减少了545.16万元，减少比例为6.45%。其中：销售费用比上期减少293.79万元，减少比例为15.26%；管理费用比上期增加292.54万元，增加比例为5.32%；财务费用比上期减少543.91万元，减少比例为52.61%，主要为利息支出减少及尚未使用募集资金存放银行取得利息收入所致。5、研发支出报告期内，公司为开发新产品及市场，全年发生研发支出的金额为475.98万元，本年净资产52,884.06万元，研发投入占净资产0.9%；本年营业收入为40,528.74万元，研发投入占营业收入的1.17%。6、现金流单位：元相关数据同比发生变动30%以上的原因说明√适用□不适用1、经营活动产生的现金流量净额同比减少79.20%，主要原因系本报告期内公司销售收入有所下降及收到其他与经营活动有关的现金减少所致。2、投资活动现金流入小计同比增加94,998.06%，主要原因系本报告期收回到期存单所致。3、投资活动现金流出小计同比增加287.72%，主要原因系本报告期公司出资5800万元发起设立天津财富嘉绩投资合伙企业及存出定期存单等因素所致。4、筹资活动现金流入小计同比增加916.68%，主要原因系本报告期内公司非公开发行股票（A股）85,287,900股，扣除相关发行费用的募集资金到账所致。5、筹资活动现金流出小计同比减少91.58%，主要原因系本报告期内偿还债务支付的现金减少所致。报告期内公司经营活动的现金流量与本年度净利润存在重大差异的原因说明√适用□不适用报告期内公司经营活动的现金流量与本年度净利润差异为189.19万元，包括：资产减值准备-66.57万元，固定资产折旧及无形资产摊销1444.90万元，处置固定资产损失2.02万元，财务费用支出982.74万元，投资损失55.66万元，递延所得税资产增加28.81万元，存货增加1488.26万元，经营性应收项目减少6004.36万元，经营性应付项目减少6812.21万元，以及其他项目中95.36万元。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五、核心竞争力分析报告期内，公司完成了非公开发行股票工作，总资产及净资产显着增加，资产负债率明显下降，公司的资本结构、财务状况得到根本性改善，公司综合竞争力和抗风险能力均得以大幅提升。六、投资状况分析1、对外股权投资情况（1）对外投资情况√适用□不适用（2）持有金融企业股权情况□适用√不适用公司报告期未持有金融企业股权。（3）证券投资情况□适用√不适用公司报告期不存在证券投资。（4）持有其他上市公司股权情况的说明□适用√不适用公司报告期未持有其他上市公司股权。2、募集资金使用情况√适用□不适用（1）募集资金总体使用情况√适用□不适用</w:t>
      </w:r>
      <w:r>
        <w:rPr>
          <w:lang w:eastAsia="zh-CN"/>
        </w:rPr>
        <w:lastRenderedPageBreak/>
        <w:t>单位：万元募集资金总体使用情况说明公司向符合中国证监会相关规定条件的特定投资者发行人民币普通股（A股）85,287,900股，每股发行价人民币4.69元，募集资金总额为40,000.03万元，全部</w:t>
      </w:r>
      <w:r w:rsidRPr="009548A3">
        <w:rPr>
          <w:lang w:eastAsia="zh-CN"/>
        </w:rPr>
        <w:t>用于补充流动资金。扣除与发行有关的费用1,226.53万元，募集资金净额为38,773.50万元。2014年6月3日，保荐机构（主承销商）——国泰君安证券股份有限公司已将扣除保荐承销费用1,150万元后的募集资金余额388,500,251元汇入公司设立的募集资金专用账户。截止2014年12月31日，公司累计使用募集资金16,800万元，均用于补充流动资金；公司募集资金账户结余22,371.60万元，其中募集资金本金21,973.50万元，存款利息及其他398.10万元（2）募集资金承诺项目情况√适用□不适用单位：万元万元，形成募集资金账户结余22,371.60万元），尚未使用的募集资金分别以约定存款、定期存单、七天通知存款方式存储。（3）募集资金变更项目情况□适用√不适用公司报告期不存在募集资金变更项目情况。3、主要子公司、参股公司分析√适用□不适用主要子公司、参股公司情况单位：元主要子公司、参股公司情况说明1、内江金鸿曲轴有限公司原注册资本500万元，公司以货币形式出资10,500万元，将其注册资本增加至11,000万元；2、天津财富嘉绩投资合伙企业（有限合伙）为2014年10月22日在天津东丽开发区注册成立的有限合伙企业，注册资本15,010万元，公司以货币形式出</w:t>
      </w:r>
      <w:r>
        <w:rPr>
          <w:lang w:eastAsia="zh-CN"/>
        </w:rPr>
        <w:t>资5,800万元，占其注册资本的38.64%。报告期内取得和处置子公司的情况□适用√不适用4、非募集资金投资的重大项目情况√适用□不适用单位：万元七、2015年1-3月经营业绩的预计预测年初至下一报告期期末的累计净利润可能为亏损或者与上年同期相比发生大幅度变动的警示及原因说明□</w:t>
      </w:r>
      <w:r w:rsidRPr="009548A3">
        <w:rPr>
          <w:lang w:eastAsia="zh-CN"/>
        </w:rPr>
        <w:t>适用√不适用八、公司未来发展的展望1、公司所处行业的发展趋势和面临的市场竞争格局2014年我国汽车产销量超过2,300万辆，创历史新高，连续六年蝉联全球第一。2015年，世界经济仍处于深度调整之中，复苏动力不足，我国经济将面临较大的下行压力。同时，随着我国汽车市场饱和程度的不断升高，巨大的能源、环保压力，对汽车产业发展带来了巨大挑战。有限的市场，以及更大规模的汽车产能，将使得行业竞争愈加激烈。虽然自主品牌汽车这些年整体品质有了较大提升，性价比占优，但合资品牌不断推出新产品以扩大市场覆盖率，短时间内合资品牌依然会占据较大的市场份额。另一方面，我国发展仍处于可以大有作为的重要战略机遇期，有巨大的潜力、韧性和回旋余地。新型工业化、信息化、城镇化、农业现代化持续推进，改革红利正在释放。为我国汽车工业延续平稳发展趋势奠定了良好基础。根据中国汽车技术研究中心预测，2015年、2020年国内汽车销量将分别达到2,550万辆、3500万辆左右，年均增速在7％左右,与GDP增速基本同步。汽车零部件是汽车工业发展的基础，汽车零部件配套及售后服务市场是汽车市场的重要组成部分，我国汽车工业的迅猛发展，为汽车零部件行业提供了坚实的产业基础和有力的市场支撑。随着“十二五”计划的落实，汽车零部件产业发展正逐步由产销量的提升演变为质量的飞跃。尤其在夯实产业根基、促使健康发展原则指导下，汽车零部件产业，已被提升为汽车产业链条中首要的发展对象。同时，国际上汽车行业开始实行零部件“全球化采购”策略及国际跨国汽车企业推行本土化策略，国内市场将出现巨大的零部件配件缺口。在国家资源倾斜、政策扶持、整顿规范等多重政策支持下，预计未来几年我国汽车零部件及配件制造行业将持续平稳增长。当前中国零部件发展面临着来自多方面的挑战。第一，面对国家节能、环保、安全法规等方面要求的日益严格，面对来自整车企业配套采购质量要求的不断强化，零部件企业面临全面提升质量的</w:t>
      </w:r>
      <w:r>
        <w:rPr>
          <w:lang w:eastAsia="zh-CN"/>
        </w:rPr>
        <w:t>压力。第</w:t>
      </w:r>
      <w:r>
        <w:rPr>
          <w:lang w:eastAsia="zh-CN"/>
        </w:rPr>
        <w:lastRenderedPageBreak/>
        <w:t>二，零部件企业具备与整车企业同步开发</w:t>
      </w:r>
      <w:r w:rsidRPr="009548A3">
        <w:rPr>
          <w:lang w:eastAsia="zh-CN"/>
        </w:rPr>
        <w:t>能力，已成为进入整车配套体系的基本要求。面对未来，要求零部件企业拥有基本的开发能力的同时，还应拥有超前技术开发能力。第三，所有零部件企业为满足汽车整车企业要求都实施了ISO9000、ISO/TS16949认证，但部分企业获得认证的目的性认识不足，管理体系执行力不够，体系运行绩效差，难以保证产品质量的持续稳定。此外，整零企业合作亟待改善，零部件企业与上游产业的合作也亟需强化。新常态下，中国汽车零部件产业必须实现转型升级才有出路。2、公司发展战略积极应对当前依然复杂严峻的形势，立足现有主业、拓展汽车发动机零部件产品、挖掘符合市场发展的新兴产业，充分利用控股股东的资源优势，发挥公司的综合竞争优势，调结构、提水平、夯内功、转方式、谋发展、增市值。实现“以</w:t>
      </w:r>
      <w:r w:rsidRPr="009548A3">
        <w:rPr>
          <w:highlight w:val="red"/>
          <w:lang w:eastAsia="zh-CN"/>
        </w:rPr>
        <w:t>轿车</w:t>
      </w:r>
      <w:r w:rsidRPr="009548A3">
        <w:rPr>
          <w:lang w:eastAsia="zh-CN"/>
        </w:rPr>
        <w:t>、</w:t>
      </w:r>
      <w:r w:rsidRPr="009548A3">
        <w:rPr>
          <w:highlight w:val="red"/>
          <w:lang w:eastAsia="zh-CN"/>
        </w:rPr>
        <w:t>轻型车</w:t>
      </w:r>
      <w:r w:rsidRPr="009548A3">
        <w:rPr>
          <w:lang w:eastAsia="zh-CN"/>
        </w:rPr>
        <w:t>为主，</w:t>
      </w:r>
      <w:r w:rsidRPr="009548A3">
        <w:rPr>
          <w:highlight w:val="red"/>
          <w:lang w:eastAsia="zh-CN"/>
        </w:rPr>
        <w:t>微车</w:t>
      </w:r>
      <w:r w:rsidRPr="009548A3">
        <w:rPr>
          <w:lang w:eastAsia="zh-CN"/>
        </w:rPr>
        <w:t>为辅”的目标，打造与</w:t>
      </w:r>
      <w:r w:rsidRPr="009548A3">
        <w:rPr>
          <w:highlight w:val="red"/>
          <w:lang w:eastAsia="zh-CN"/>
        </w:rPr>
        <w:t>主机厂</w:t>
      </w:r>
      <w:r w:rsidRPr="009548A3">
        <w:rPr>
          <w:lang w:eastAsia="zh-CN"/>
        </w:rPr>
        <w:t>的核心购销体系，奋力跻身于国内</w:t>
      </w:r>
      <w:r w:rsidRPr="009548A3">
        <w:rPr>
          <w:highlight w:val="red"/>
          <w:lang w:eastAsia="zh-CN"/>
        </w:rPr>
        <w:t>汽车零部件</w:t>
      </w:r>
      <w:r w:rsidRPr="009548A3">
        <w:rPr>
          <w:lang w:eastAsia="zh-CN"/>
        </w:rPr>
        <w:t>专业化知名制造商行列，实现公司的稳步健康发展，使股东获得良好的回报。3、2015年经营计划2015年公</w:t>
      </w:r>
      <w:r>
        <w:rPr>
          <w:lang w:eastAsia="zh-CN"/>
        </w:rPr>
        <w:t>司将积极应对竞争和挑战，紧紧围绕“品</w:t>
      </w:r>
      <w:r w:rsidRPr="009548A3">
        <w:rPr>
          <w:lang w:eastAsia="zh-CN"/>
        </w:rPr>
        <w:t>质经营拓市场，创新管理增效益；目标导向强执行，寻求增长谋发展。”的经营思路和年度经营目标，克服汽车市场增速逐步放缓和中国品牌汽车市场份额下滑等不利因素，齐心协力，坚定信心，努力增加营收、增强获利能力，抓好以下几方面重点工作：（1）持续推进精益生产管理，提高劳动生产率、降低制造成本，提升盈利能力。（2）巩固现有客户市场份额，开发新产品，重点拓展合资、外资品牌市</w:t>
      </w:r>
      <w:r>
        <w:rPr>
          <w:lang w:eastAsia="zh-CN"/>
        </w:rPr>
        <w:t>场。（3）创新管理模式。一是创新质量管理模式，进一步提升产品实物质量；二是创新成本管理模式，优化成本管理模型和报价体系，提高竞争优势；三是创新营销管理模式，提升市场占有率；四是创新内部管理模式，降低管理费用，提升管理整体水平。（4）继续加大技术改造力度，提升装备水平和工艺水平。（5）积极寻求新的经济增长点，努力探索投资、并购机会。（6）继续抓好内控管理体系建设，不断完善管理制度，保持内控体系的有效运行。（7）加强人力资源管理，合理调节分配机制，引进、培养和储备适应公司发展的中高级管理人才和技术人才。（8）周密筹划，扎实抓好新厂搬迁的各项工作，既保障客户的需求，又使其尽快产生效益。4、公司面临的风险公司主营业务为</w:t>
      </w:r>
      <w:r>
        <w:rPr>
          <w:highlight w:val="red"/>
          <w:lang w:eastAsia="zh-CN"/>
        </w:rPr>
        <w:t>汽车发动机曲轴</w:t>
      </w:r>
      <w:r>
        <w:rPr>
          <w:lang w:eastAsia="zh-CN"/>
        </w:rPr>
        <w:t>的制造、销售。由于公司的</w:t>
      </w:r>
      <w:r w:rsidRPr="009548A3">
        <w:rPr>
          <w:highlight w:val="red"/>
          <w:lang w:eastAsia="zh-CN"/>
        </w:rPr>
        <w:t>汽车发动机曲轴</w:t>
      </w:r>
      <w:r>
        <w:rPr>
          <w:lang w:eastAsia="zh-CN"/>
        </w:rPr>
        <w:t>产品主要集中在自主品牌</w:t>
      </w:r>
      <w:r w:rsidRPr="009548A3">
        <w:rPr>
          <w:lang w:eastAsia="zh-CN"/>
        </w:rPr>
        <w:t>汽车，附加值低，市场竞争较为激烈。受自主品牌汽车市场份额的不断下滑和公司生产线搬迁的影响，公司的经营业绩有可能受到一定影响。公司将通过精细化管理，持续进行市场、政策研究，加强运营数据、财务数据的监控与分析，依据市场情况、政策导向和经营数据，及时调整经营策略和工作措施加以应对。九、董事会、监事会对会计师事务所本报告期“非标准审计报告”的说明□适用√不适用十、与上年度财务报告相比，会计政策、会计估计和核算方法发生变化的情况说明√适用□不适用1、会计政策变更会计政策变更说明：财政部于2014年陆续颁布或修订了一系列企业会计准则，公司已按要求于2014年7月1日执行新的企业会计准则，但对本公司的财务报表不产生影响。2、会计估计变更和核算方法变化</w:t>
      </w:r>
      <w:r>
        <w:rPr>
          <w:lang w:eastAsia="zh-CN"/>
        </w:rPr>
        <w:t>本报告期主要会计估计未发生变更，核算方法未发生变化。十一、与上年度财务报告相比，合并报表范围发生变化的情况说明□适用√不适用公司报告期无合并报表范围发生变化的情况。十二、公司利润分配及分红派息情况报告期内利润分配政策的制定、执行或调整情况√适用□不适用2013年6月27日，公司2012年度股东大会审议批准了关于分红条款修改的议案，修改后的公司分红政策更加符合公司实际情况，有利于公司的长远发展。公司近3年（含报告期）的利润分配预案或方案及资本公积金转增股本预案或方案情况由于</w:t>
      </w:r>
      <w:r>
        <w:rPr>
          <w:lang w:eastAsia="zh-CN"/>
        </w:rPr>
        <w:lastRenderedPageBreak/>
        <w:t>公司近3年（含报告期）累计未分配利润为负，不符合利润分配条件。公司将各年度未分配利润用于弥补以前年度亏损，未实施利润分配。公司近三年现金分红情况表单位：元公司报告期内盈利且母公司未分配利润为正但未</w:t>
      </w:r>
      <w:r w:rsidRPr="009548A3">
        <w:rPr>
          <w:lang w:eastAsia="zh-CN"/>
        </w:rPr>
        <w:t>提出现金红利分配预案□适用√不适用十三、本报告期利润分配及资本公积金转增股本预案□适用√不适用公司计划年度不派发现金红利，不送红股，不以公积金转增股本。十四、社会责任情况√适用□不适用公司根据国家有关安全生产的规定，结合本企业实际情况，建立了严格的安全生产管理体系、操作规范和应急预案，强化安全生产责任追究制度，切实做到安全生产。公司严格按照国家和汽车零部件行业相关产品质量的要求，制定并切实执行了行业和公司质量管理规章制度，公司</w:t>
      </w:r>
      <w:r>
        <w:rPr>
          <w:lang w:eastAsia="zh-CN"/>
        </w:rPr>
        <w:t>产品质量获得了客户和社会的极大认可。在保护职工权益方面，公司按照国家法律法规的有关的规定与每一名员工签订了合法有效的劳动合同，及时缴纳相关社保，定期组织员工进行体检，切实保障了公司员工权益。同时，公司还积极履行社会公益方面的责任和义务，关心帮助社会弱势群体，支持慈善事业，切实履行了企业社会责任。上市公司及其子公司是否属于国家环境保护部门规定的重污染行业□是√否□不适用上市公司及其子公司是否存在其他重大社会安全问题□是√否□不适用报告期内是否被行政处罚□是√否□不适用十五、报告期内接待调研、沟通、采访等活动登记表√适用□不适用”</w:t>
      </w:r>
    </w:p>
    <w:p w14:paraId="20C0D069" w14:textId="77777777" w:rsidR="000B246F" w:rsidRDefault="00000000">
      <w:pPr>
        <w:rPr>
          <w:lang w:eastAsia="zh-CN"/>
        </w:rPr>
      </w:pPr>
      <w:r>
        <w:rPr>
          <w:rFonts w:hint="eastAsia"/>
          <w:lang w:eastAsia="zh-CN"/>
        </w:rPr>
        <w:t>标签数量：57</w:t>
      </w:r>
    </w:p>
    <w:sectPr w:rsidR="000B24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2C2C" w14:textId="77777777" w:rsidR="001C507A" w:rsidRDefault="001C507A">
      <w:pPr>
        <w:spacing w:line="240" w:lineRule="auto"/>
      </w:pPr>
      <w:r>
        <w:separator/>
      </w:r>
    </w:p>
  </w:endnote>
  <w:endnote w:type="continuationSeparator" w:id="0">
    <w:p w14:paraId="42891AEA" w14:textId="77777777" w:rsidR="001C507A" w:rsidRDefault="001C5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EEDA7" w14:textId="77777777" w:rsidR="001C507A" w:rsidRDefault="001C507A">
      <w:pPr>
        <w:spacing w:after="0"/>
      </w:pPr>
      <w:r>
        <w:separator/>
      </w:r>
    </w:p>
  </w:footnote>
  <w:footnote w:type="continuationSeparator" w:id="0">
    <w:p w14:paraId="450BBFC6" w14:textId="77777777" w:rsidR="001C507A" w:rsidRDefault="001C50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27372378">
    <w:abstractNumId w:val="1"/>
  </w:num>
  <w:num w:numId="2" w16cid:durableId="632636918">
    <w:abstractNumId w:val="4"/>
  </w:num>
  <w:num w:numId="3" w16cid:durableId="1490320508">
    <w:abstractNumId w:val="5"/>
  </w:num>
  <w:num w:numId="4" w16cid:durableId="1041129054">
    <w:abstractNumId w:val="2"/>
  </w:num>
  <w:num w:numId="5" w16cid:durableId="1039167559">
    <w:abstractNumId w:val="0"/>
  </w:num>
  <w:num w:numId="6" w16cid:durableId="615914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0B246F"/>
    <w:rsid w:val="0015074B"/>
    <w:rsid w:val="001C507A"/>
    <w:rsid w:val="0029639D"/>
    <w:rsid w:val="00326F90"/>
    <w:rsid w:val="009548A3"/>
    <w:rsid w:val="00AA1D8D"/>
    <w:rsid w:val="00B47730"/>
    <w:rsid w:val="00CB0664"/>
    <w:rsid w:val="00F55D29"/>
    <w:rsid w:val="00FC693F"/>
    <w:rsid w:val="01543C57"/>
    <w:rsid w:val="01934780"/>
    <w:rsid w:val="0F3F7CF5"/>
    <w:rsid w:val="302C79CA"/>
    <w:rsid w:val="40FD0791"/>
    <w:rsid w:val="49BD61BD"/>
    <w:rsid w:val="4A321C93"/>
    <w:rsid w:val="4F206140"/>
    <w:rsid w:val="4F9036E4"/>
    <w:rsid w:val="55AC0AE1"/>
    <w:rsid w:val="5AD22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63E71"/>
  <w14:defaultImageDpi w14:val="300"/>
  <w15:docId w15:val="{ECAEC9BE-96AF-49B0-B6E7-A1AD8206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65BD94EDD3EB4BF393BA0ACF05CC4E02</vt:lpwstr>
  </property>
</Properties>
</file>