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B556" w14:textId="77777777" w:rsidR="0058209C" w:rsidRDefault="00000000">
      <w:pPr>
        <w:rPr>
          <w:lang w:eastAsia="zh-CN"/>
        </w:rPr>
      </w:pPr>
      <w:r>
        <w:rPr>
          <w:lang w:eastAsia="zh-CN"/>
        </w:rPr>
        <w:t>第四节经营情况讨论与分析一、概述2018年是改革开放40周年，也是实施“十三五”规划承上启下的关键一年。国内经济形式复杂，在国家深化</w:t>
      </w:r>
      <w:r>
        <w:rPr>
          <w:highlight w:val="red"/>
          <w:lang w:eastAsia="zh-CN"/>
        </w:rPr>
        <w:t>医药卫生</w:t>
      </w:r>
      <w:r>
        <w:rPr>
          <w:lang w:eastAsia="zh-CN"/>
        </w:rPr>
        <w:t>体制改革的政策背景下，监管政策密集出台，</w:t>
      </w:r>
      <w:r>
        <w:rPr>
          <w:highlight w:val="red"/>
          <w:lang w:eastAsia="zh-CN"/>
        </w:rPr>
        <w:t>医药</w:t>
      </w:r>
      <w:r>
        <w:rPr>
          <w:lang w:eastAsia="zh-CN"/>
        </w:rPr>
        <w:t>分开</w:t>
      </w:r>
      <w:r>
        <w:rPr>
          <w:highlight w:val="red"/>
          <w:lang w:eastAsia="zh-CN"/>
        </w:rPr>
        <w:t>分级诊疗</w:t>
      </w:r>
      <w:r>
        <w:rPr>
          <w:lang w:eastAsia="zh-CN"/>
        </w:rPr>
        <w:t>、</w:t>
      </w:r>
      <w:r>
        <w:rPr>
          <w:highlight w:val="red"/>
          <w:lang w:eastAsia="zh-CN"/>
        </w:rPr>
        <w:t>药品流通</w:t>
      </w:r>
      <w:r>
        <w:rPr>
          <w:lang w:eastAsia="zh-CN"/>
        </w:rPr>
        <w:t>“</w:t>
      </w:r>
      <w:r>
        <w:rPr>
          <w:highlight w:val="red"/>
          <w:lang w:eastAsia="zh-CN"/>
        </w:rPr>
        <w:t>两票制</w:t>
      </w:r>
      <w:r>
        <w:rPr>
          <w:lang w:eastAsia="zh-CN"/>
        </w:rPr>
        <w:t>”、</w:t>
      </w:r>
      <w:r>
        <w:rPr>
          <w:highlight w:val="red"/>
          <w:lang w:eastAsia="zh-CN"/>
        </w:rPr>
        <w:t>仿制药</w:t>
      </w:r>
      <w:r>
        <w:rPr>
          <w:lang w:eastAsia="zh-CN"/>
        </w:rPr>
        <w:t>一致性评价、</w:t>
      </w:r>
      <w:r>
        <w:rPr>
          <w:highlight w:val="red"/>
          <w:lang w:eastAsia="zh-CN"/>
        </w:rPr>
        <w:t>化药</w:t>
      </w:r>
      <w:r>
        <w:rPr>
          <w:lang w:eastAsia="zh-CN"/>
        </w:rPr>
        <w:t>注册新分类</w:t>
      </w:r>
      <w:r w:rsidRPr="006D7CF5">
        <w:rPr>
          <w:lang w:eastAsia="zh-CN"/>
        </w:rPr>
        <w:t>、临床试验</w:t>
      </w:r>
      <w:r>
        <w:rPr>
          <w:lang w:eastAsia="zh-CN"/>
        </w:rPr>
        <w:t>数据核查加大了整个</w:t>
      </w:r>
      <w:r>
        <w:rPr>
          <w:highlight w:val="red"/>
          <w:lang w:eastAsia="zh-CN"/>
        </w:rPr>
        <w:t>医药</w:t>
      </w:r>
      <w:r>
        <w:rPr>
          <w:lang w:eastAsia="zh-CN"/>
        </w:rPr>
        <w:t>产业链优胜劣汰的竞争格局；带量采购政策落地，短期将产生负面冲击，长期将推动</w:t>
      </w:r>
      <w:r>
        <w:rPr>
          <w:highlight w:val="red"/>
          <w:lang w:eastAsia="zh-CN"/>
        </w:rPr>
        <w:t>医药</w:t>
      </w:r>
      <w:r>
        <w:rPr>
          <w:lang w:eastAsia="zh-CN"/>
        </w:rPr>
        <w:t>产业升级，由仿制向创新转型；伴随着移动</w:t>
      </w:r>
      <w:r>
        <w:rPr>
          <w:highlight w:val="red"/>
          <w:lang w:eastAsia="zh-CN"/>
        </w:rPr>
        <w:t>互联网</w:t>
      </w:r>
      <w:r>
        <w:rPr>
          <w:lang w:eastAsia="zh-CN"/>
        </w:rPr>
        <w:t>新的营销模式飞速发展，</w:t>
      </w:r>
      <w:r>
        <w:rPr>
          <w:highlight w:val="red"/>
          <w:lang w:eastAsia="zh-CN"/>
        </w:rPr>
        <w:t>医药</w:t>
      </w:r>
      <w:r>
        <w:rPr>
          <w:lang w:eastAsia="zh-CN"/>
        </w:rPr>
        <w:t>行业变革持续发展，产业规模集中加快，</w:t>
      </w:r>
      <w:r>
        <w:rPr>
          <w:highlight w:val="red"/>
          <w:lang w:eastAsia="zh-CN"/>
        </w:rPr>
        <w:t>医药</w:t>
      </w:r>
      <w:r>
        <w:rPr>
          <w:lang w:eastAsia="zh-CN"/>
        </w:rPr>
        <w:t>企业发展面临极大挑战。但在城镇化水平不断提高，人口老龄化加速的大背景下，需求持续提升，</w:t>
      </w:r>
      <w:r>
        <w:rPr>
          <w:highlight w:val="red"/>
          <w:lang w:eastAsia="zh-CN"/>
        </w:rPr>
        <w:t>医药</w:t>
      </w:r>
      <w:r>
        <w:rPr>
          <w:lang w:eastAsia="zh-CN"/>
        </w:rPr>
        <w:t>行业长期保持稳定增长依然可期。面对行业政策的持续深化调整、环保监管的日益增强以及更加严峻的市场竞争格局，公司统一思想，调整思路，树立发展意识，增强发展的紧迫感，努力践行以现代</w:t>
      </w:r>
      <w:r>
        <w:rPr>
          <w:highlight w:val="red"/>
          <w:lang w:eastAsia="zh-CN"/>
        </w:rPr>
        <w:t>中药</w:t>
      </w:r>
      <w:r>
        <w:rPr>
          <w:lang w:eastAsia="zh-CN"/>
        </w:rPr>
        <w:t>为依托、以</w:t>
      </w:r>
      <w:r>
        <w:rPr>
          <w:highlight w:val="red"/>
          <w:lang w:eastAsia="zh-CN"/>
        </w:rPr>
        <w:t>生物制药</w:t>
      </w:r>
      <w:r>
        <w:rPr>
          <w:lang w:eastAsia="zh-CN"/>
        </w:rPr>
        <w:t>为特色的</w:t>
      </w:r>
      <w:r>
        <w:rPr>
          <w:highlight w:val="red"/>
          <w:lang w:eastAsia="zh-CN"/>
        </w:rPr>
        <w:t>大健康医药</w:t>
      </w:r>
      <w:r>
        <w:rPr>
          <w:lang w:eastAsia="zh-CN"/>
        </w:rPr>
        <w:t>产业发展主线</w:t>
      </w:r>
      <w:r w:rsidRPr="006D7CF5">
        <w:rPr>
          <w:lang w:eastAsia="zh-CN"/>
        </w:rPr>
        <w:t>的高质量发展理念，持续优化产业运营模式，继续推进重大资产重组后续工作，改善公司财务状况，为公司核心业务</w:t>
      </w:r>
      <w:r>
        <w:rPr>
          <w:lang w:eastAsia="zh-CN"/>
        </w:rPr>
        <w:t>的发展提供充足的资金支持；并持续拓展新业务，进入</w:t>
      </w:r>
      <w:r>
        <w:rPr>
          <w:highlight w:val="red"/>
          <w:lang w:eastAsia="zh-CN"/>
        </w:rPr>
        <w:t>PPP</w:t>
      </w:r>
      <w:r>
        <w:rPr>
          <w:lang w:eastAsia="zh-CN"/>
        </w:rPr>
        <w:t>项目领域，积极承接并全力推进新项目，进一步提升公司的持续盈利能力，增强公司核心竞争力。本报告期，公司实现营业总收入63,341.77万元，同比增加4,246.88万元，增长7.19%，其中中西成药产业实现主营业务收入58,455.85万元，同比增加8,662.59万元，增长17.40%；生物制药产业实现主营业务收入594.45万元，同比减少141.64万元，下降19.24%；钢构产业实现主营业务收入3,442.99万元，同比减少4,807.15万元，下降58.27%；实现归属于上市公司股东的净利润3,116.94万元，实现归属于上市公司股东的扣除非经常性损益后的净利润2,826.48万元，同比增加1,609.79万元，实现经营活动现金流量净额10,773.64万元，同比增加13,815.32万元。本报告期内，无新进入注册程序的药品。本报告期内，无烟灸条新进入四川省《国家基本医疗保险、工伤保险和生育保险药品目录》。本报告期及去年同期无生物制品批签发。本报告期及去年同期销售额占公司同期主营业务收入10%以上的主要药品：1.原国家二类</w:t>
      </w:r>
      <w:r>
        <w:rPr>
          <w:highlight w:val="red"/>
          <w:lang w:eastAsia="zh-CN"/>
        </w:rPr>
        <w:t>中药</w:t>
      </w:r>
      <w:r>
        <w:rPr>
          <w:lang w:eastAsia="zh-CN"/>
        </w:rPr>
        <w:t>新药</w:t>
      </w:r>
      <w:r>
        <w:rPr>
          <w:highlight w:val="red"/>
          <w:lang w:eastAsia="zh-CN"/>
        </w:rPr>
        <w:t>三七通舒胶囊</w:t>
      </w:r>
      <w:r>
        <w:rPr>
          <w:lang w:eastAsia="zh-CN"/>
        </w:rPr>
        <w:t>，具有活血化瘀，活络通脉，改善脑梗塞、脑缺血功能障碍，恢复缺血性脑代谢异常，抗血小板聚集，防止血栓形成，改善微循环，降低全血粘度，增强颈动脉血流量，主要用于心脑血管栓塞性病症，主治中风、半身不遂、口舌歪斜、言语蹇涩、偏身麻木等；拥有“一种</w:t>
      </w:r>
      <w:r>
        <w:rPr>
          <w:highlight w:val="red"/>
          <w:lang w:eastAsia="zh-CN"/>
        </w:rPr>
        <w:t>三七三醇皂苷组合物</w:t>
      </w:r>
      <w:r>
        <w:rPr>
          <w:lang w:eastAsia="zh-CN"/>
        </w:rPr>
        <w:t>及其制备方法和用途”的国内和欧洲专利，发明专利起止时间为2004年-2024年，所属注册分类为</w:t>
      </w:r>
      <w:r>
        <w:rPr>
          <w:highlight w:val="red"/>
          <w:lang w:eastAsia="zh-CN"/>
        </w:rPr>
        <w:t>中药</w:t>
      </w:r>
      <w:r>
        <w:rPr>
          <w:lang w:eastAsia="zh-CN"/>
        </w:rPr>
        <w:t>，不属于</w:t>
      </w:r>
      <w:r>
        <w:rPr>
          <w:highlight w:val="red"/>
          <w:lang w:eastAsia="zh-CN"/>
        </w:rPr>
        <w:t>中药</w:t>
      </w:r>
      <w:r>
        <w:rPr>
          <w:lang w:eastAsia="zh-CN"/>
        </w:rPr>
        <w:t>保护品种；2.</w:t>
      </w:r>
      <w:r>
        <w:rPr>
          <w:highlight w:val="red"/>
          <w:lang w:eastAsia="zh-CN"/>
        </w:rPr>
        <w:t>伏立康唑片</w:t>
      </w:r>
      <w:r>
        <w:rPr>
          <w:lang w:eastAsia="zh-CN"/>
        </w:rPr>
        <w:t>，是一种广谱的</w:t>
      </w:r>
      <w:r>
        <w:rPr>
          <w:highlight w:val="red"/>
          <w:lang w:eastAsia="zh-CN"/>
        </w:rPr>
        <w:t>三唑类抗真菌药</w:t>
      </w:r>
      <w:r>
        <w:rPr>
          <w:lang w:eastAsia="zh-CN"/>
        </w:rPr>
        <w:t>，主要用于治疗侵袭性曲霉病；氟康唑耐药的念珠菌引起的严重侵袭性感染（包括克柔念珠菌）；足放线病菌属和镰刀菌属引起的严重感染等。</w:t>
      </w:r>
      <w:r>
        <w:rPr>
          <w:highlight w:val="red"/>
          <w:lang w:eastAsia="zh-CN"/>
        </w:rPr>
        <w:t>伏立康唑片</w:t>
      </w:r>
      <w:r>
        <w:rPr>
          <w:lang w:eastAsia="zh-CN"/>
        </w:rPr>
        <w:t>主要用于治疗免疫缺陷患者中进行性的、可能威胁生命的感染；所属注册分类为</w:t>
      </w:r>
      <w:r>
        <w:rPr>
          <w:highlight w:val="red"/>
          <w:lang w:eastAsia="zh-CN"/>
        </w:rPr>
        <w:t>化药</w:t>
      </w:r>
      <w:r>
        <w:rPr>
          <w:lang w:eastAsia="zh-CN"/>
        </w:rPr>
        <w:t>；3.</w:t>
      </w:r>
      <w:r>
        <w:rPr>
          <w:highlight w:val="red"/>
          <w:lang w:eastAsia="zh-CN"/>
        </w:rPr>
        <w:t>鼻渊舒口服液</w:t>
      </w:r>
      <w:r>
        <w:rPr>
          <w:lang w:eastAsia="zh-CN"/>
        </w:rPr>
        <w:t>，具有疏风清热，祛湿通窍，用于鼻炎、鼻窦炎属肺经风热及胆腑郁热证者；拥有发明专利——“一种</w:t>
      </w:r>
      <w:r>
        <w:rPr>
          <w:highlight w:val="red"/>
          <w:lang w:eastAsia="zh-CN"/>
        </w:rPr>
        <w:t>中药组合物</w:t>
      </w:r>
      <w:r>
        <w:rPr>
          <w:lang w:eastAsia="zh-CN"/>
        </w:rPr>
        <w:t>及其制备方法”，发明专利起止时间为2005年6月1日-2025年5月31日，所属注册分类为</w:t>
      </w:r>
      <w:r>
        <w:rPr>
          <w:highlight w:val="red"/>
          <w:lang w:eastAsia="zh-CN"/>
        </w:rPr>
        <w:t>中药</w:t>
      </w:r>
      <w:r>
        <w:rPr>
          <w:lang w:eastAsia="zh-CN"/>
        </w:rPr>
        <w:t>，不属于</w:t>
      </w:r>
      <w:r>
        <w:rPr>
          <w:highlight w:val="red"/>
          <w:lang w:eastAsia="zh-CN"/>
        </w:rPr>
        <w:t>中药</w:t>
      </w:r>
      <w:r>
        <w:rPr>
          <w:lang w:eastAsia="zh-CN"/>
        </w:rPr>
        <w:t>保护品种。二、主营业务分析1、概述参见“经营情况讨论与分析”中的“一、概述”相关内容。2、收入与成本（1）营业收入构成单位：元2018年2017年同比增减金额占营业收入比重金额占营业收入比重营业收入合计633,417,693.18100%590,948,888.29100%7.19%分行业医药制造业590,502,971.2693.22%505,293,432.4985.51%16.86%建筑钢结构34,429,893.135.44%82,501,399.1913.96%-58.27%其他</w:t>
      </w:r>
      <w:r>
        <w:rPr>
          <w:lang w:eastAsia="zh-CN"/>
        </w:rPr>
        <w:lastRenderedPageBreak/>
        <w:t>8,484,828.791.34%3,154,056.610.53%169.01%分产品中西成药584,558,511.9392.29%497,932,578.9384.26%17.40%生物制药5,944,459.330.94%7,360,853.561.25%-19.24%钢结构制作安装服务34,429,893.135.44%82,501,399.1913.96%-58.27%其他8,484,828.791.34%3,154,056.610.53%169.01%分地区省内119,233,312.3318.82%146,341,124.6124.76%-18.52%省外514,184,380.8581.18%444,607,763.6875.24%15.65%（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医药制造业590,502,971.26176,026,350.9270.19%16.86%-13.03%10.24%建筑钢结构34,429,893.1338,176,574.49-10.88%-58.27%-50.20%-17.95%分产品中西成药584,558,511.93165,174,299.1771.74%17.40%-13.98%10.30%钢结构制作安装服务34,429,893.1338,176,574.49-10.88%-58.27%-50.20%-17.95%分地区省内119,233,312.3346,346,200.6261.13%-18.52%-58.58%37.58%省外514,184,380.85173,044,744.4066.35%15.65%2.97%4.15%公司主营业务数据统计口径在报告期发生调整的情况下，公司最近1年按报告期末口径调整后的主营业务数据□适用√不适用（3）公司实物销售收入是否大于劳务收入√是□否行业分类项目单位2018年2017年同比增减中西成药销售量盒23,922,26222,604,4425.83%生产量盒23,940,22722,997,1854.10%库存量盒1,693,3501,675,3851.07%相关数据同比发生变动30%以上的原因说明□适用√不适用（4）公司已签订的重大销售合同截至本报告期的履行情况□适用√不适用（5）营业成本构成行业和产品分类单位：元行业分类项目2018年2017年同比增减金额占营业成本比重金额占营业成本比重医药制造业176,026,350.9280.23%202,392,559.5772.30%-13.03%建筑钢结构38,176,574.4917.40%76,664,873.1027.39%-50.20%其他5,188,019.612.36%883,612.760.32%487.14%单位：元产品分类项目2018年2017年同比增减金额占营业成本比重金额占营业成本比重中西成药165,174,299.1775.29%192,023,316.6968.59%-13.98%钢结构制作安装服务38,176,574.4917.40%76,664,873.1027.39%-50.20%生物制药10,852,051.754.95%10,369,242.883.70%4.66%其他5,188,019.612.36%883,612.760.32%487.14%说明（6）报告期内合并范围是否发生变动√是□否2017年5月18日，为盘活公司存量资产，提高资产使用效率，经公司第十一届董事会第四次会议审议批准，公司以位于双流区西航港街道锦华路二段3号的一宗出让住宅兼商服用地作价29,881万元成立子公司成都业康置业有限公司。2017年11月30日，公司与四川温资房地产开发投资有限公司签订《股权转让合同》，合同约定，公司以43,000万元向四川温资房地产开发投资有限公司转让成都业康置业有限公司100%股权，本集团合并财务报表范围包括四川华神钢构有限责任公司、成都华神生物技术有限责任公司、成都中医药大学华神药业有限责任公司三家公司，与上年相比本年减少子公司成都业康置业有限公司。（7）公司报告期内业务、产品或服务发生重大变化或调整有关情况□适用√不适用（8）主要销售客户和主要供应商情况公司主要销售客户情况前五名客户合计销售金</w:t>
      </w:r>
      <w:r>
        <w:rPr>
          <w:lang w:eastAsia="zh-CN"/>
        </w:rPr>
        <w:lastRenderedPageBreak/>
        <w:t>额（元）127,089,358.06前五名客户合计销售金额占年度销售总额比例20.06%前五名客户销售额中关联方销售额占年度销售总额比例0.00%公司前5大客户资料序号客户名称销售额（元）占年度销售总额比例1客户A32,396,503.595.11%2客户B27,914,549.564.41%3客户C24,012,650.923.79%4客户D23,207,722.103.66%5客户E19,557,931.893.09%合计--127,089,358.0620.06%主要客户其他情况说明□适用√不适用公司主要供应商情况前五名供应商合计采购金额（元）112,131,731.33前五名供应商合计采购金额占年度采购总额比例53.43%前五名供应商采购额中关联方采购额占年度采购总额比例0.00%公司前5名供应商资料序号供应商名称采购额（元）占年度采购总额比例1供应商A45,573,640.0021.71%2供应商B21,080,310.0010.04%3供应商C19,058,055.809.08%4供应商D14,326,413.336.83%5供应商E12,093,312.205.76%合计--112,131,731.3353.43%主要供应商其他情况说明□适用√不适用3、费用单位：元2018年2017年同比增减重大变动说明304,032,548.61201,042,889.4251.23%主要系中西成药产业为积极应对医改新政影响，加大学术推广及销售终端开发力度，市场投入及销售规模同比增加所致。销售费用管理费用36,316,216.9741,582,660.75-12.66%-6,318,819.196,564,025.01-196.26%主要系一方面本报告期根据公司资金情况归还了全部银行借款，减少了利息支出；另一方面本报告期公司与思源银行签订协定存款协议，约定上浮活期存款利率，利息收入同比增加。财务费用26,844,887.3917,331,208.7654.89%主要系公司为推动三七通舒胶囊国际化项目进程，加大研发投入所致。研发费用资产减值损失561,279.3514,467,189.45-96.12%主要系上年同期公司对前期预付中国人民解放军军事医学科学院生物工程研究所1600万元技术转让款调至其他应收款并全额计提坏账准备所致。4、研发投入√适用□不适用1、三七通舒胶囊原料药三七三醇皂苷质量标准成功进入《德国药品法典》，开展三七通舒肠溶胶囊制剂形式调研，完成微丸制剂欧洲市场调研。2、根据经典名方的中药复方制剂的申报注册将享受“免临床、免药效”重大政策红利，开展中药经典名方复方制剂研发工作，目前正从“经典名方物质基准”研制和制剂研制两个阶段开展研究工作。公司研发投入情况2018年2017年变动比例研发人员数量（人）131134-2.24%研发人员数量占比18.66%17.22%1.44%研发投入金额（元）36,396,405.9337,403,896.29-2.69%研发投入占营业收入比例5.75%6.33%-0.58%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2018年2017年同比增减经营活动现金流入小计685,034,092.48507,938,279.2034.87%经营活动现金流出小计577,297,649.47538,355,032.887.23%经营活动产生的现金流量净额107,736,443.01-30,416,753.68454.20%投资活动现金流入小计10,328,732.18305,364,121.77-96.62%投资活动现金流出小计56,582,578.1131,852,702.5977.64%投资活动产生的现金流量净额-46,253,845.93273,511,419.18-116.91%筹资活动现金流入小计13,024,506.34130,000,000.00-89.98%筹资活动现金流出小计158,797,106.49138,319,447.9914.80%筹资活动产生的现金流量净额-145,772,600.15-8,319,447.99-1,652.19%现金及现金等价物净增加额-84,290,003.07234,775,217.51-</w:t>
      </w:r>
      <w:r>
        <w:rPr>
          <w:lang w:eastAsia="zh-CN"/>
        </w:rPr>
        <w:lastRenderedPageBreak/>
        <w:t>135.90%相关数据同比发生重大变动的主要影响因素说明√适用□不适用1、经营活动产生的现金流量净额本期较上年同期增加13,815.32万元，主要系①本报告期持续加大应收账款回收力度，严控承兑比，销售商品提供劳务收到的现金同比增加17,835.77万元；②本报告期合理利用公司商业信用，购买商品、接受劳务支付的现金同比减少7,248.75万元；③本报告期积极应对医药政策变革，加大市场拓展力度，市场投入加大，销售规模扩大，支付其他经营活动有关的现金同比增加9,187.19万元。2、投资活动产生的现金流量净额本期较上年同期减少31,976.53万元，主要系上年同期公司盘活土地资产，使本报告期收到资产处置款项同比减少30,479.26万元。3、筹资活动产生的现金流量净额本期较上年同期增加赤字13,745.32万元，主要系本报告期根据公司资金情况，归还银行贷款13,000万元后未续贷。报告期内公司经营活动产生的现金净流量与本年度净利润存在重大差异的原因说明√适用□不适用本年度实现净利润3,116.94万元，经营活动产生的现金流量净额为10,773.64万元，两者差异为7,656.70万元，主要系经营性应收项目变动影响所致，2018年末经营性应收项目较年初减少使现金流增加7,683.87万元。三、非主营业务分析√适用□不适用单位：元金额占利润总额比例形成原因说明是否具有可持续性1,401,053.373.23%本期收到参股公司成都时否代新兴企业管理咨询有限公司分红款240万元，另根投资收益据联营企业三峰华神实现的本期净利润按投资比例计算确认的投资损失99.89万元。资产减值561,279.351.30%否营业外收入52,672.790.12%否营业外支出47,002.350.11%否四、资产及负债状况1、资产构成重大变动情况单位：元2018年末2017年末占总资产比例占总资产比例比重增减重大变动说明金额金额346,085,862.0331.92%443,400,371.4433.44%-1.52%主要系本报告期根据公司资金情况偿还银行借款后未续贷，及本报告期货币资金解缴上期土地资产处置相关税费所致。应收账款301,967,561.9727.85%309,817,105.3523.36%4.49%存货80,182,649.327.40%65,551,399.704.94%2.46%主要系本报告期公司根据生产经营需要，对主要产品进行备货所致。投资性房地产35,222,216.733.25%0.00%3.25%主要系公司本年将对外出租部分的生产厂房从固定资产划至投资性房地产。长期股权投资5,164,551.500.48%6,163,498.130.46%0.02%固定资产186,940,245.5717.24%239,252,598.9618.04%-0.80%在建工程26,000.000.00%短期借款130,000,000.009.80%-9.80%主要系本报告期根据公司资金情况偿还银行借款后未续贷。长期借款0.00%应收票据44,160,104.884.07%121,051,809.029.13%-5.06%主要系本报告期公司银行票据回款减少。其他应收款5,285,720.940.49%83,510,888.556.30%-5.81%主要系本报告期收回四川温资房地产开发投资有限公司股权转让款8000万元。应交税费61,865,539.275.71%186,957,256.7314.10%-8.39%主要系本报告期解缴上期盘活双流土地资产所涉相关税费。2、以公允价值计量的资产和负债□适用√不适用3、截至报告期末的资产权利受限情况无五、投资状况1、总体情况√适用□不适用报告期投资额（元）上年同期投资额（元）变动幅度50,794,484.8031,763,498.1359.91%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w:t>
      </w:r>
      <w:r>
        <w:rPr>
          <w:lang w:eastAsia="zh-CN"/>
        </w:rPr>
        <w:lastRenderedPageBreak/>
        <w:t>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成都中医药子公司中西成药20,000,000.0209,705,771.104,898,254.325,222,166.6,016,222.684,357,921.02大学华神药业有限责任公司0648200四川华神钢构有限责任公司子公司钢结构制作安装150,000,000.00263,615,190.5677,231,834.3040,184,663.40-18,890,803.30-18,840,644.79成都华神生物技术有限责任公司子公司生物制药50,000,000.0033,076,177.58-26,482,358.477,232,896.65-7,071,628.73-7,071,628.73报告期内取得和处置子公司的情况□适用√不适用主要控股参股公司情况说明华神钢构受本年度新承接业务量较少及以前年度项目结算影响，本年度亏损1,884.06万元，同比增亏2,106.36万元，占本报告期公司净利润的-60.45%（去年同期占比为1.29%）。八、公司控制的结构化主体情况□适用√不适用九、公司未来发展的展望（一）行业格局和趋势人口结构老龄化、国人健康意识的提高、政府卫生的投入等因素所释放的市场需求仍将持续行业增长态势；集约化产业政策日渐明晰，产业集中度将持续提</w:t>
      </w:r>
      <w:r w:rsidRPr="006D7CF5">
        <w:rPr>
          <w:lang w:eastAsia="zh-CN"/>
        </w:rPr>
        <w:t>高；健康中国战略、中医药立法等法律法规的陆续出台，彰显了国家引导、扶持中医药产业发展的理念；生物制药仍是全球战略性新兴产业，市场的快速增长将带动该产业的投资回报率增长。同时，新医改各项政策带来了理念变化及监管调整，固守原有模式将难以为继；产业投资并购大潮逐渐归于理性，优质并购标的稀缺。（二）公司发展战略2015年9月，公司实际控制人变更，开启第三次创业新征程。公司坚持做强做大主业的理念，2016年更名为成都泰合健康科技集团股份有限公司（证券</w:t>
      </w:r>
      <w:r>
        <w:rPr>
          <w:lang w:eastAsia="zh-CN"/>
        </w:rPr>
        <w:t>简称“泰合健康”）。目前，公司正在制定下一阶段战略规划。（三）经营计划2018年公司的总体预期目标是：保持销售规模稳步增长，扣除非经常性损益后的净利润不低于2017年度的130%，持续改善经营性现金净流量。公司2018年度较好地完成了预期目标，实现营业收入总额63,341.77万元，同比增加4,246.88万元，上升7.19%；实现归属于上市公司股东的扣除非经常性损益后的净利润2,826.48万元，同比增加1,609.79万元，增长132.31%；实现经营活动现金流量净额10,773.64万元，同比增加13,815.32万元。2019年公司的总体预期目标是：保持销售规模稳步增长，扣除非经常性损益后</w:t>
      </w:r>
      <w:r w:rsidRPr="006D7CF5">
        <w:rPr>
          <w:lang w:eastAsia="zh-CN"/>
        </w:rPr>
        <w:t>的净利润不低于2018年度的120%，维持经营性现金流稳定。上述经营目标并不代表公司对2019年度的盈利预测，也不构成对投资者的实质承诺，能否实现取决于市场状况变化、经营团队的努力程度等多种因素，存在很大的不确定性，请投资者特别注意）。为此，公司坚持内生式增长与外延式发展并举的发展路径，坚定道路自信，明确未来战略定位、策略及目标；坚定经营目标、强</w:t>
      </w:r>
      <w:r>
        <w:rPr>
          <w:lang w:eastAsia="zh-CN"/>
        </w:rPr>
        <w:t>化执行，确保目标任务全面达成；坚定产品自信，优化产品布局，增强发展动力；坚定文化自</w:t>
      </w:r>
      <w:r w:rsidRPr="006D7CF5">
        <w:rPr>
          <w:lang w:eastAsia="zh-CN"/>
        </w:rPr>
        <w:t>信，强化团队建设，创建共建、共享、共成长的命运共同体；强化研发能力，持续夯实发展竞争力；强化对外交流与合作，提</w:t>
      </w:r>
      <w:r>
        <w:rPr>
          <w:lang w:eastAsia="zh-CN"/>
        </w:rPr>
        <w:t>升公司知名度与品牌影响力。（四）可能面对的风险1、药品降价风险自2009年国家深化</w:t>
      </w:r>
      <w:r>
        <w:rPr>
          <w:highlight w:val="red"/>
          <w:lang w:eastAsia="zh-CN"/>
        </w:rPr>
        <w:t>医药卫生</w:t>
      </w:r>
      <w:r>
        <w:rPr>
          <w:lang w:eastAsia="zh-CN"/>
        </w:rPr>
        <w:t>体制改革以来，</w:t>
      </w:r>
      <w:r w:rsidRPr="006D7CF5">
        <w:rPr>
          <w:lang w:eastAsia="zh-CN"/>
        </w:rPr>
        <w:t>药品降价、医保控费、招标限价措施频出</w:t>
      </w:r>
      <w:r>
        <w:rPr>
          <w:lang w:eastAsia="zh-CN"/>
        </w:rPr>
        <w:t>。随着</w:t>
      </w:r>
      <w:r>
        <w:rPr>
          <w:highlight w:val="red"/>
          <w:lang w:eastAsia="zh-CN"/>
        </w:rPr>
        <w:t>医药</w:t>
      </w:r>
      <w:r>
        <w:rPr>
          <w:lang w:eastAsia="zh-CN"/>
        </w:rPr>
        <w:t>改革的不断深化，</w:t>
      </w:r>
      <w:r>
        <w:rPr>
          <w:highlight w:val="red"/>
          <w:lang w:eastAsia="zh-CN"/>
        </w:rPr>
        <w:t>药品</w:t>
      </w:r>
      <w:r>
        <w:rPr>
          <w:lang w:eastAsia="zh-CN"/>
        </w:rPr>
        <w:t>降价风险不断加大。2、</w:t>
      </w:r>
      <w:r w:rsidRPr="006D7CF5">
        <w:rPr>
          <w:lang w:eastAsia="zh-CN"/>
        </w:rPr>
        <w:t>两票制导致渠道风险由于两票制的全面实行，可能丢失部分渠道。3、产品研发及临床研究项目风险由于产品研发周期长，难度大，国家监管法规及技术要求提高等原因，可能存在产品研发失败的风险。综上所述，公司将结合内、外</w:t>
      </w:r>
      <w:r w:rsidRPr="006D7CF5">
        <w:rPr>
          <w:lang w:eastAsia="zh-CN"/>
        </w:rPr>
        <w:lastRenderedPageBreak/>
        <w:t>部发展环境，审时度势，深化战略管理，深入优化资源配置，聚焦医药产业，努力提升公司核心竞争力，保障公司持续健康发展。十</w:t>
      </w:r>
      <w:r>
        <w:rPr>
          <w:lang w:eastAsia="zh-CN"/>
        </w:rPr>
        <w:t>、接待调研、沟通、采访等活动情况1、报告期内接待调研、沟通、采访等活动登记表√适用□不适用接待时间接待方式接待对象类型调研的基本情况索引2018年12月31日书面问询个人报告期内回复投资者互动易问询数百条，多为投资者问询生产经营和重大资产重组等情况。2018年12月31日电话沟通个人报告期内接听投资者电话百余次，多为投资者问询生产经营等情况.接待次数0接待机构数量0接待个人数量0接待其他对象数量0是否披露、透露或泄露未公开重大信息否</w:t>
      </w:r>
    </w:p>
    <w:p w14:paraId="206F6B80" w14:textId="77777777" w:rsidR="0058209C" w:rsidRDefault="0058209C">
      <w:pPr>
        <w:rPr>
          <w:lang w:eastAsia="zh-CN"/>
        </w:rPr>
      </w:pPr>
    </w:p>
    <w:p w14:paraId="6D7BDD5F" w14:textId="77777777" w:rsidR="0058209C" w:rsidRDefault="00000000">
      <w:pPr>
        <w:rPr>
          <w:lang w:eastAsia="zh-CN"/>
        </w:rPr>
      </w:pPr>
      <w:r>
        <w:rPr>
          <w:rFonts w:hint="eastAsia"/>
          <w:lang w:eastAsia="zh-CN"/>
        </w:rPr>
        <w:t>标签总量：57</w:t>
      </w:r>
    </w:p>
    <w:sectPr w:rsidR="005820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1EC6" w14:textId="77777777" w:rsidR="00793116" w:rsidRDefault="00793116">
      <w:pPr>
        <w:spacing w:line="240" w:lineRule="auto"/>
      </w:pPr>
      <w:r>
        <w:separator/>
      </w:r>
    </w:p>
  </w:endnote>
  <w:endnote w:type="continuationSeparator" w:id="0">
    <w:p w14:paraId="7DC60264" w14:textId="77777777" w:rsidR="00793116" w:rsidRDefault="00793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ED91" w14:textId="77777777" w:rsidR="00793116" w:rsidRDefault="00793116">
      <w:pPr>
        <w:spacing w:after="0"/>
      </w:pPr>
      <w:r>
        <w:separator/>
      </w:r>
    </w:p>
  </w:footnote>
  <w:footnote w:type="continuationSeparator" w:id="0">
    <w:p w14:paraId="38A8B2E2" w14:textId="77777777" w:rsidR="00793116" w:rsidRDefault="007931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8519717">
    <w:abstractNumId w:val="1"/>
  </w:num>
  <w:num w:numId="2" w16cid:durableId="87120437">
    <w:abstractNumId w:val="4"/>
  </w:num>
  <w:num w:numId="3" w16cid:durableId="1699353317">
    <w:abstractNumId w:val="5"/>
  </w:num>
  <w:num w:numId="4" w16cid:durableId="1025522266">
    <w:abstractNumId w:val="2"/>
  </w:num>
  <w:num w:numId="5" w16cid:durableId="553005500">
    <w:abstractNumId w:val="0"/>
  </w:num>
  <w:num w:numId="6" w16cid:durableId="1308585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58209C"/>
    <w:rsid w:val="006D7CF5"/>
    <w:rsid w:val="00793116"/>
    <w:rsid w:val="00AA1D8D"/>
    <w:rsid w:val="00B47730"/>
    <w:rsid w:val="00CB0664"/>
    <w:rsid w:val="00FC693F"/>
    <w:rsid w:val="089F1C5C"/>
    <w:rsid w:val="0C3E79DE"/>
    <w:rsid w:val="19D674A8"/>
    <w:rsid w:val="1BA710FC"/>
    <w:rsid w:val="1F0E1492"/>
    <w:rsid w:val="27B5694E"/>
    <w:rsid w:val="3AE3337B"/>
    <w:rsid w:val="44E16B7D"/>
    <w:rsid w:val="4DAB465F"/>
    <w:rsid w:val="4F195165"/>
    <w:rsid w:val="50862D39"/>
    <w:rsid w:val="51B15B29"/>
    <w:rsid w:val="5A3F1F24"/>
    <w:rsid w:val="675D0727"/>
    <w:rsid w:val="6CB33533"/>
    <w:rsid w:val="70567B70"/>
    <w:rsid w:val="73C15AC5"/>
    <w:rsid w:val="7487479C"/>
    <w:rsid w:val="7A2A00A3"/>
    <w:rsid w:val="7C7A1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76C93"/>
  <w14:defaultImageDpi w14:val="300"/>
  <w15:docId w15:val="{E5D0100D-8114-4087-8146-AD0877A7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0086EAF0A99B43A98FC1044F48BD8282</vt:lpwstr>
  </property>
</Properties>
</file>