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8E14" w14:textId="77777777" w:rsidR="001474DE" w:rsidRDefault="00000000">
      <w:pPr>
        <w:numPr>
          <w:ilvl w:val="0"/>
          <w:numId w:val="7"/>
        </w:numPr>
        <w:rPr>
          <w:lang w:eastAsia="zh-CN"/>
        </w:rPr>
      </w:pPr>
      <w:r>
        <w:rPr>
          <w:lang w:eastAsia="zh-CN"/>
        </w:rPr>
        <w:t>公司经营情况的讨论与分析公司报告期内面临前所未有的恶劣经营局面：主要原</w:t>
      </w:r>
      <w:r w:rsidRPr="000D1B09">
        <w:rPr>
          <w:lang w:eastAsia="zh-CN"/>
        </w:rPr>
        <w:t>材料</w:t>
      </w:r>
      <w:r w:rsidRPr="000D1B09">
        <w:rPr>
          <w:highlight w:val="red"/>
          <w:lang w:eastAsia="zh-CN"/>
        </w:rPr>
        <w:t>天然气</w:t>
      </w:r>
      <w:r>
        <w:rPr>
          <w:lang w:eastAsia="zh-CN"/>
        </w:rPr>
        <w:t>供应较上一年度更加紧张，装置开工率严重不足，</w:t>
      </w:r>
      <w:r>
        <w:rPr>
          <w:highlight w:val="red"/>
          <w:lang w:eastAsia="zh-CN"/>
        </w:rPr>
        <w:t>尿素</w:t>
      </w:r>
      <w:r>
        <w:rPr>
          <w:lang w:eastAsia="zh-CN"/>
        </w:rPr>
        <w:t>产量较上一年度下降21.14%；由于后经济危机产能过剩以及去库存化的影响，产品市场持续低迷，用肥旺季发生的历史罕见的西南大春旱使得销售形势更加恶化；</w:t>
      </w:r>
      <w:r>
        <w:rPr>
          <w:highlight w:val="red"/>
          <w:lang w:eastAsia="zh-CN"/>
        </w:rPr>
        <w:t>天然气</w:t>
      </w:r>
      <w:r>
        <w:rPr>
          <w:lang w:eastAsia="zh-CN"/>
        </w:rPr>
        <w:t>管管运输价格和出厂基准价格大幅上涨，但由于产品市场低迷，大幅增加的成本尚未有效传导至下游领域。面对如此严峻的经营局面，公司紧紧围绕年初制定的“5+2战略主题”，坚持把安全</w:t>
      </w:r>
      <w:r w:rsidRPr="000D1B09">
        <w:rPr>
          <w:lang w:eastAsia="zh-CN"/>
        </w:rPr>
        <w:t>环保稳定生产，确保企业经营效益作为首要任务；坚持以开展管理创新，深化改革，实施精细化管理作为重要工作；坚持把提升企业核心能力，打造行业一流企业作为重要使命；坚持推进重点项目建设，保证公司发展能力；全面实施361管理变革，健全体系，完善机制，团结一心，苦练内功，夯实基础，全力以赴渡难关，保稳定。通过采取上述措施，巩固和提升了企业综合运营能力，为企业可持续发展打下了良好基础。但由于各项负面因素集中出现且影响巨大，公司2010年出现亏损。2010年公司共生产合成氨65万吨、尿素97万吨，实现营业收入350,491万元，营业利润-25,522万元，归属于母公司的净利润-16,701万</w:t>
      </w:r>
      <w:r>
        <w:rPr>
          <w:lang w:eastAsia="zh-CN"/>
        </w:rPr>
        <w:t>元。二、公司经营情况回顾1、主营业务收入和利润构成情况公司属化肥行业，主营业务为化肥、化工原料生产与销售，拥有年产100万吨合成氨、160万吨尿素生产能力。2010年度公司生产合成氨65万吨、尿素97万吨、浓硝酸9万吨、硝酸铵9万吨、氮磷复合肥1万吨，实现营业收入350,491万元，营业利润-25,522万元，归属于母公司的净利润-16,701万元。2、报告期内公司资产构成变动情况①、应收款项占总资产比例较上年增加5.48个百分点，主要是预付工程项目设备款和工程款增加所致。②、存货占总资产比例较上年增加0.8个百分点，主要是2010年控股子公司九禾公司响应国家发改委号召增加化肥冬储所致。③、长期股权投资占总资产比例较上年增加2.51个百分点，主要是公司合并报表范围变更，公司对四川绿源醇业有限责任公司、内蒙古天河化工有限责任公司的长期股权投资核算方法由成本法转为权益法所致。④、固定资产占总资产比例较上年减少11.14个百分点，主要因为公司合并范围变更，四川绿源醇业有限责任公司、内蒙古天河化工有限责任公司年末不再纳入合并报表范围，相应减少固定资产所致。⑤、短期借款占总资产比例较上年减少6.54个百分点，主要是报告期内计入短期借款的已贴现未到期汇票减少所致。⑥、长期借款占总资产比例较上年增加17.67个百分点，主要是报告期公司本部及控股子公司增加了银行长期借款。3、报告期内公司期间费用、所得税情况①、销售费用减少主要是报告期内产品销量下降从而使控股子公司九禾公司仓储费较去年同期减少。②、管理费用增加主要是报告期内控股子公司天华公司的</w:t>
      </w:r>
      <w:r>
        <w:t>γ</w:t>
      </w:r>
      <w:r>
        <w:rPr>
          <w:lang w:eastAsia="zh-CN"/>
        </w:rPr>
        <w:t>-丁内酯项目建成投产，相应增加了管理费用。③、财务费用减少主要是报告期内通过采取增加票据支付、争取银行贷款利率优惠等手段加强资金管理减少利息支出从而减少了财务费用。④、所得税减少主要是报告期内公司实现的利润比上年度减少。4、现金流量变动情况①、经营活动产生的现金流量净额比上年同期减少，主要是报告期内增加尿素冬储及化工产品销量减少从而减少了销售现金收入。②、投资活动产生的现金流量净额比上年同期减少，主要是报告期内公司在建项目构建资产增加所致。③、筹资活动产生的现金流量净额比上年同期增加，主要是报告期内长期借款增加所致。5、主要供应商、客户情况公司向前五名供应商采购原材料金额为97,923万元，占公司年度采购总金额52.29%。公司前五名客户销售收入总额31,466万元，占销售总收入的8.98%。</w:t>
      </w:r>
    </w:p>
    <w:sectPr w:rsidR="001474D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A490" w14:textId="77777777" w:rsidR="00BB7E2B" w:rsidRDefault="00BB7E2B">
      <w:pPr>
        <w:spacing w:line="240" w:lineRule="auto"/>
      </w:pPr>
      <w:r>
        <w:separator/>
      </w:r>
    </w:p>
  </w:endnote>
  <w:endnote w:type="continuationSeparator" w:id="0">
    <w:p w14:paraId="727CB8D8" w14:textId="77777777" w:rsidR="00BB7E2B" w:rsidRDefault="00BB7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02B2E" w14:textId="77777777" w:rsidR="00BB7E2B" w:rsidRDefault="00BB7E2B">
      <w:pPr>
        <w:spacing w:after="0"/>
      </w:pPr>
      <w:r>
        <w:separator/>
      </w:r>
    </w:p>
  </w:footnote>
  <w:footnote w:type="continuationSeparator" w:id="0">
    <w:p w14:paraId="5FFD1108" w14:textId="77777777" w:rsidR="00BB7E2B" w:rsidRDefault="00BB7E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CFD5E4"/>
    <w:multiLevelType w:val="singleLevel"/>
    <w:tmpl w:val="9ACFD5E4"/>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96462214">
    <w:abstractNumId w:val="2"/>
  </w:num>
  <w:num w:numId="2" w16cid:durableId="18507400">
    <w:abstractNumId w:val="5"/>
  </w:num>
  <w:num w:numId="3" w16cid:durableId="1290014428">
    <w:abstractNumId w:val="6"/>
  </w:num>
  <w:num w:numId="4" w16cid:durableId="333152201">
    <w:abstractNumId w:val="3"/>
  </w:num>
  <w:num w:numId="5" w16cid:durableId="727192939">
    <w:abstractNumId w:val="1"/>
  </w:num>
  <w:num w:numId="6" w16cid:durableId="1818958501">
    <w:abstractNumId w:val="4"/>
  </w:num>
  <w:num w:numId="7" w16cid:durableId="115881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0D1B09"/>
    <w:rsid w:val="001474DE"/>
    <w:rsid w:val="0015074B"/>
    <w:rsid w:val="0029639D"/>
    <w:rsid w:val="00326F90"/>
    <w:rsid w:val="00AA1D8D"/>
    <w:rsid w:val="00B47730"/>
    <w:rsid w:val="00BB7E2B"/>
    <w:rsid w:val="00CB0664"/>
    <w:rsid w:val="00FC693F"/>
    <w:rsid w:val="0C27503A"/>
    <w:rsid w:val="1CFC64F8"/>
    <w:rsid w:val="208A5149"/>
    <w:rsid w:val="2AE9007F"/>
    <w:rsid w:val="2B3F1EC7"/>
    <w:rsid w:val="31250F3F"/>
    <w:rsid w:val="5C0B6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53AE1"/>
  <w14:defaultImageDpi w14:val="300"/>
  <w15:docId w15:val="{22DAD1E1-1E33-409C-B2E4-AF0600AD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01E30C7454E44B4EA75B15932C00B4AE</vt:lpwstr>
  </property>
</Properties>
</file>