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A2B6" w14:textId="77777777" w:rsidR="005F36B9" w:rsidRDefault="00000000">
      <w:pPr>
        <w:rPr>
          <w:lang w:eastAsia="zh-CN"/>
        </w:rPr>
      </w:pPr>
      <w:r>
        <w:rPr>
          <w:lang w:eastAsia="zh-CN"/>
        </w:rPr>
        <w:t>第四节董事会报告一、概述报告期内，公司董事会按照有关法律法规的要求及《公司章程》赋予的职责，严格执行股东大会决议，不断完</w:t>
      </w:r>
      <w:r w:rsidRPr="00172180">
        <w:rPr>
          <w:lang w:eastAsia="zh-CN"/>
        </w:rPr>
        <w:t>善公司治理结构，提升公司整体运作水平，董事会依法合规运作，使公司经营计划得以顺利实施。面对国内通胀和市场环境复杂多变带来的挑战，在公司管理层的领导下，广大干部职工认真贯彻科学发展观，努力克服市场需求不足、劳动力成本上升和原辅料价格大幅波动等困难，适时调整经营策略，促进了生产稳定、销售稳定和员工队伍稳定，着力推进企业转型与发展。报告期内，公司实现营业业务收入12.33亿元，净利润-9806万元。二、主营业务分析1、概述报告期内，公司营业收入123,273.44万元，营业成本125,443.83万元，较上年同期分别下降了6.61%、5.37%；归属于母公司所有者的净利润-9,794.39万元，亏损额度比上年同期有所增加。本报告期的主营业务收入减少主要原因是受经济环境影响，公司产品</w:t>
      </w:r>
      <w:r w:rsidRPr="00172180">
        <w:rPr>
          <w:highlight w:val="red"/>
          <w:lang w:eastAsia="zh-CN"/>
        </w:rPr>
        <w:t>涤纶丝</w:t>
      </w:r>
      <w:r w:rsidRPr="00172180">
        <w:rPr>
          <w:lang w:eastAsia="zh-CN"/>
        </w:rPr>
        <w:t>的销量及销售价格与去年同期相比均有较大幅度的下降。公司在2013年共向广东泰宝聚合物有限公司采购原料80828.19吨，金额为82485万元。其中：</w:t>
      </w:r>
      <w:r w:rsidRPr="00172180">
        <w:rPr>
          <w:highlight w:val="red"/>
          <w:lang w:eastAsia="zh-CN"/>
        </w:rPr>
        <w:t>聚酯熔体</w:t>
      </w:r>
      <w:r w:rsidRPr="00172180">
        <w:rPr>
          <w:lang w:eastAsia="zh-CN"/>
        </w:rPr>
        <w:t>75993.79吨，金额77720万元；半消光切片4834.40吨，金额4765万元。公司回顾总结前期披露的发展战略和经营计划在报告期内的进展情况2013年，面对错综复杂的市场形势，公司在广大股东的关心支持下，认真贯彻科学发展观，坚持以“八字方针”为指引，坚定信心、咬定目标、科学推进，确保了生产经营持续有效运行，实现自主创新、内部改革和企业管理有新进步，提高了员工的幸福指数和企业形象。报告期内，公司采取了以下措施对经营思路和经营目标予以贯彻落实：（1）突出抓好产、供、销运作，增强生产经营的互动能力报告期内，公司根据市场的变化，适当放缓生产速度，及时转变采购和销售策略，不但规避了产品价格大幅下行的风险，还节约成本和提升了销售客户的满意度。（2）突出加快转变经营方式，增强企业的发展实力报告期内，公司着力转变经营策略，提升企业的发展运行水平，在对外投资、技术提升、新产品研发、融资运作等方面取得新进步。（3）突出推进科学管理，增强企业内部的管治力报告期内，公司着重探索科学的管理模式，选派有关管理人员到泰国银都拉玛公司学习取经，促进生产管理水平上新台阶。突出深化内部改革，增强发展活力（4）突出深化内部改革，增强发展活力报告期内，公司大力推动制度创新和机制创新，深化内部改革，通过持续完善制度建设、优化人才队伍、完善工资分配体系等手段，打造更具活力的经营环境。（5）突出构建和谐幸福企业，增强公司的向心力公司把改善经营环境、推进合作共赢作为日常工作的重要任务，想方设法推动企业的发展。公司董事会主动与股东做好日常沟通，请求各方对春晖股份的支持和帮助，增进了彼此的沟通，使公司与股东的关系更加密切、更加融洽。公司注重构建和谐家园，及时向困难职工输送关怀，帮困和慰问患病员工21人次，共发放补助金、慰问金1.77万元；争取开平市总工会帮扶、助学16人次，帮扶金额3.1万元。“春晖工会之家”QQ热线认真倾听员工的倾诉，根据员工的建议，先后改善了宿舍生活用水、增加热水供给设施、合理调整厂车路线、加强膳堂管理等，切实为员工办实事、解难事。公司实际经营业绩较曾公开披露过的本年度盈利预测低于或高于20%以上的差异原因□适用√不适用2、收入说明本报告期公司的业务收入同比无重大变化。公司实物销售收入是否大于劳务收入√是□否相关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单位：元产品分类单位：元说明公司自己</w:t>
      </w:r>
      <w:r w:rsidRPr="00172180">
        <w:rPr>
          <w:lang w:eastAsia="zh-CN"/>
        </w:rPr>
        <w:lastRenderedPageBreak/>
        <w:t>生产的产品为涤纶丝和锦纶丝，聚酯切片和高粘切片是公司向广东泰宝聚合物有限公司采购再出售的产品。公司主要供应商情况公司前5名供应商资料□适用√不适用4、费用报告期内，公司销售费用、管理费用、财务费用等与上年同期相比没有重大变化。5、研发支出公司重视技术研发及储备，2013年共投入约150万元资金用于新产品的技术开发和新产品试制等。6、现金流单位：元相关数据同比发生变动30%以上的原因说明√适用□不适用1、经营活动产生的现金流量净额本期比上期减少252.12%，主要是因为公司产品价格降低以及销售量减少所致；2、投资活动现金流入小计本期比上期减少74.72%，主要是公司2012年度收回大部分资产转让款项而今年收回剩余小部分所致；3、投资活动现金流出小计本期比上期减少83.49%，主要是公司本年度购买的生产设备比上年少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单位：元报告期内公司主要资产计量属性是否发生重大变化□是√否五、核心竞争力分析公司地域优势明显，市场潜力巨大；已具有完善的售后服务网络、先进的技术水平、响亮的“诚晖”品牌，将为企业带来不可估量的价值；在多年的发展过程中，公司应变能力和竞争力显着增强，公司在生产现场管理、各类技术人才培养等方面储备了丰富的经验和资源，这是我们最宝贵的财富。六、投资状况分析1、对外股权投资情况（1）对外投资情况（2）持有金融企业股权情况（3）证券投资情况日期（如有）持有其他上市公司股权情况的说明□适用√不适用2、委托理财、衍生品投资和委托贷款情况（1）委托理财情况报告期内，公司无委托理财情况。（2）衍生品投资情况报告期内，公司无衍生品投资情况。（3）委托贷款情况报告期内，公司无委托贷款情况。3、募集资金使用情况（1）募集资金总体使用情况报告期内，公司无募集资金或报告期之前募集资金的使用延续至本报告期的情况。（2）募集资金承诺项目情况单位：万元（3）募集资金变更项目情况单位：万元4、主要子公司、参股公司分析主要子公司、参股公司情况单位：元主要子公司、参股公司情况说明1、报告期内，公司</w:t>
      </w:r>
      <w:r>
        <w:rPr>
          <w:lang w:eastAsia="zh-CN"/>
        </w:rPr>
        <w:t>无投资收益对公司净利润影响达到10%以上的子公司和参股公司。2、根据公司第六届董事会第十三次会议决议，决定出资500万元成立一级全资子公司——开平诚晖投资有限公司。2013年8月29日，开平诚晖投资有限公司成立。自2013年8月29日起，本公司将开平诚晖投资有限公司纳入合并报表范围。3、2013年9月30日，开平诚晖投资有限公司投资240万元成立湛江市海泰贸易有限公司，注册资本400万，持股比例60%。自2013年9月30日起，本公司将湛江市海泰贸易有限公司纳入合并报表范围。报告期内取得和处置子公司的情况□适用√不适用5、非募集资金投资的重大项目情况单位：万元七、2014年1-3月经营业绩的预计预测年初至下一报告期期末的累计净利润可能为亏损或者与上年同期相比发生大幅度变动的警示及原因说明□适用√不适用八、公司控制的特殊目的主体情况无九、公司未来发展的展望1、行业竞争格局和发展趋势化纤行业经过十多年的快速扩张，产能过剩状况严重，结构性矛盾突出，行业竞争不断升级，导致产品价格持续下跌，涤纶行业已连续两年出现亏损。同时周边地区的产能亦在增加，使公司的产品受到了冲击，形成了压力。因同行竞争程度不断加深，去年公司的利润空间亦有所收窄，经营业绩出现下滑，对公司下一步的生存和发展带来了</w:t>
      </w:r>
      <w:r>
        <w:rPr>
          <w:lang w:eastAsia="zh-CN"/>
        </w:rPr>
        <w:lastRenderedPageBreak/>
        <w:t>新的挑战和考验。在本省，广东化纤行业发展缓慢，局部甚至处于萎缩状态，广东是纺织制造业大省，但上下游产业链不匹配，其中，目前珠三角地区化纤DTY需求量约70万吨/年，而此区域产能却不足20万吨，省内的纺织厂家所需的化纤原料大部分依靠江浙、福建地区的化纤企业供应，广东省内下游用户的新产品开发及升级，带来对特种性能的产品需求亦给我们带来产品升级的机会。2、公司未来发展战略公司在致力发展</w:t>
      </w:r>
      <w:r>
        <w:rPr>
          <w:highlight w:val="red"/>
          <w:lang w:eastAsia="zh-CN"/>
        </w:rPr>
        <w:t>化纤</w:t>
      </w:r>
      <w:r w:rsidRPr="00172180">
        <w:rPr>
          <w:lang w:eastAsia="zh-CN"/>
        </w:rPr>
        <w:t>主业的</w:t>
      </w:r>
      <w:r>
        <w:rPr>
          <w:lang w:eastAsia="zh-CN"/>
        </w:rPr>
        <w:t>同时，积</w:t>
      </w:r>
      <w:r w:rsidRPr="00172180">
        <w:rPr>
          <w:lang w:eastAsia="zh-CN"/>
        </w:rPr>
        <w:t>极盘活闲置资产、拓展新的投资领域，推动公司转型发展。3、2014年经营计划2014年，是春晖股份力保主业稳定、推动企业升级发展的重要一年，也是深化内部改革与管理的关键之年，做好今年工作意义重大、至关重要。今年公司生产经营工作的主要思路是：要围绕“求生存、谋发展”的思路开展工作，以“品质、服务、创新、和谐”的八字方针为企业发展理念，按照“坚持创新驱动、促进提质增效”的总体要求，致力加强技改创新，坚持逐步走差异化市场道路，加大新产品开发与推广力度，提高现场生产管理水平，进一步提高AA率，降低产品成本，以服务的理念贯穿生产经营的全过程，致力提高春晖股份的发展能力。为保证生产经营目标的实现，公司将重点抓好以下工作：（1）推动企业向多元化方向发展当前，化纤行业正处于调整期，公司将创新思路，立足主业，促进企业向多元化的方向发展。（2）逐步走产品差异化道路公司将以市场为导向，充分发挥公司设备多样化的特点，既要紧跟市场，又要引导市场，在不断开发传统及非传统领域的高附加值品种的同时，着力于扩大新品种的市场覆盖率，逐步提高公司产品的差异化水平和比例。（3）推动内部管理的深化，强化成本管控公司将严抓节约管理，切实控制生产经营成本，深入剖析每个成本指标的构成，把每项指标细化到车间、班组及员工，使成本管理与管理人员、操作人员的工资挂钩，形成全员抓成本的氛围。（4）提高技术水平，提升产品质量公司将组织技术人员着力攻破一批关键技术，优化生产工艺，提高企业的技术水平；致力“做专、做特、做优”，以创新驱动促进产品质量的提升，实现提质增效。4、公司未来发展战略所需的资金需求及使用计划，以及资金来源情况未来一年，公司发展所需的资金将以自有资金为主。同时，结合国家政策，争取银行和股东的支持。5、对公司未来发展战略和经营目标的实现产生不利影响的风险因素，以及采取的措施和对策（1）原材料供应受控于第三方带来公司后续发展的不确定影</w:t>
      </w:r>
      <w:r>
        <w:rPr>
          <w:lang w:eastAsia="zh-CN"/>
        </w:rPr>
        <w:t>响2011年以来，公司从租用生产线生产</w:t>
      </w:r>
      <w:r>
        <w:rPr>
          <w:highlight w:val="red"/>
          <w:lang w:eastAsia="zh-CN"/>
        </w:rPr>
        <w:t>原材料</w:t>
      </w:r>
      <w:r>
        <w:rPr>
          <w:lang w:eastAsia="zh-CN"/>
        </w:rPr>
        <w:t>变为向非关联方广东泰宝聚合物有限公司采购</w:t>
      </w:r>
      <w:r>
        <w:rPr>
          <w:highlight w:val="red"/>
          <w:lang w:eastAsia="zh-CN"/>
        </w:rPr>
        <w:t>半消光聚酯熔体</w:t>
      </w:r>
      <w:r>
        <w:rPr>
          <w:lang w:eastAsia="zh-CN"/>
        </w:rPr>
        <w:t>、</w:t>
      </w:r>
      <w:r>
        <w:rPr>
          <w:highlight w:val="red"/>
          <w:lang w:eastAsia="zh-CN"/>
        </w:rPr>
        <w:t>半消光聚酯切片</w:t>
      </w:r>
      <w:r>
        <w:rPr>
          <w:lang w:eastAsia="zh-CN"/>
        </w:rPr>
        <w:t>及</w:t>
      </w:r>
      <w:r>
        <w:rPr>
          <w:highlight w:val="red"/>
          <w:lang w:eastAsia="zh-CN"/>
        </w:rPr>
        <w:t>高粘聚酯切片</w:t>
      </w:r>
      <w:r>
        <w:rPr>
          <w:lang w:eastAsia="zh-CN"/>
        </w:rPr>
        <w:t>，作为公司生产用原材料之用。由于生产工艺设计的原因，公司的</w:t>
      </w:r>
      <w:r>
        <w:rPr>
          <w:highlight w:val="red"/>
          <w:lang w:eastAsia="zh-CN"/>
        </w:rPr>
        <w:t>前纺</w:t>
      </w:r>
      <w:r w:rsidRPr="00172180">
        <w:rPr>
          <w:lang w:eastAsia="zh-CN"/>
        </w:rPr>
        <w:t>生产工</w:t>
      </w:r>
      <w:r>
        <w:rPr>
          <w:lang w:eastAsia="zh-CN"/>
        </w:rPr>
        <w:t>艺与泰宝公司的</w:t>
      </w:r>
      <w:r>
        <w:rPr>
          <w:highlight w:val="red"/>
          <w:lang w:eastAsia="zh-CN"/>
        </w:rPr>
        <w:t>聚酯熔体</w:t>
      </w:r>
      <w:r>
        <w:rPr>
          <w:lang w:eastAsia="zh-CN"/>
        </w:rPr>
        <w:t>管道相连，直接向泰宝公司购买原材料可以减少生产流程，使原材料质量及供给更加稳定，但也使公</w:t>
      </w:r>
      <w:r w:rsidRPr="00172180">
        <w:rPr>
          <w:lang w:eastAsia="zh-CN"/>
        </w:rPr>
        <w:t>司在原材料供应方面在一定程度上依赖第三方（泰宝公司）。对策：公司已与泰宝公司签订了长期原材料采购合同，公司将加强与泰宝公司的合作，督促对方严格遵守合同条款，保证原材料的供应，同时着手准备对相关生产工艺进行改进，以确保公司生产经营的连续性。（2）融资成本增加的风险导致用资成本增加的风险在目前公司主营业务连续多年经营困难的情况下，银行不断调高贷款利率，使公司融资面临一定压力，公司财务成本将明显上升。对策与措施：加强与多家银行的沟通，争取取得较优惠的贷款利率水平；同时在资金宽裕的情况下，偿还部分贷款，降低财务费用。（3）化纤市场产品价格剧烈波动对公司成本控制的不利影响由于化纤</w:t>
      </w:r>
      <w:r>
        <w:rPr>
          <w:lang w:eastAsia="zh-CN"/>
        </w:rPr>
        <w:t>产品市场价格波动剧烈，原辅材料供应价格变动走势难以捉摸，生产成本控制存在不确定因素。对策：公司将密切关注</w:t>
      </w:r>
      <w:r>
        <w:rPr>
          <w:highlight w:val="red"/>
          <w:lang w:eastAsia="zh-CN"/>
        </w:rPr>
        <w:t>化纤</w:t>
      </w:r>
      <w:r w:rsidRPr="00172180">
        <w:rPr>
          <w:lang w:eastAsia="zh-CN"/>
        </w:rPr>
        <w:t>市场变化，及时调整经营思路和方式，货比多家，</w:t>
      </w:r>
      <w:r>
        <w:rPr>
          <w:lang w:eastAsia="zh-CN"/>
        </w:rPr>
        <w:t>采购更贴近市</w:t>
      </w:r>
      <w:r>
        <w:rPr>
          <w:lang w:eastAsia="zh-CN"/>
        </w:rPr>
        <w:lastRenderedPageBreak/>
        <w:t>场的经营策略，应对各种不利影响。十、董事会、监事会对会计师事务所本报告期“非标准审计报告”的说明不适用十一、与上年度财务报告相比，会计政策、会计估计和核算方法发生变化的情况说明与上年度财务报告相比，公司会计政策、会计估计和核算方法未发生变化。十二、报告期内发生重大会计差错更正需追溯重述的情况说明报告期内，公司未发生重大会计差错更正需追溯重述的情况。十三、与上年度财务报告相比，合并报表范围发生变化的情况说明与上年度财务报告相同，公司对开平诚晖投资有限公司、湛江市海泰贸易有限公司进行合并报表。十四、公司利润分配及分红派息情况报告期内利润分配政策特别是现金分红政策的制定、执行或调整情况□适用√不适用公司近3年（含报告期）的利润分配预案或方案及资本公积金转增股本预案或方案情况公司近3年未进行利润分配，也未进行公积金转增股本。公司近三年现金分红情况表单位：元公司报告期内盈利且母公司未分配利润为正但未提出现金红利分配预案□适用√不适用十五、本报告期利润分配及资本公积金转增股本预案公司2013年度利润分配预案为：不进行利润分配，也不以公积金转增股本。该预案尚需提交公司2013年度股东大会审议。十六、社会责任情况公司守法经营、依法纳税，努力为股东创造价值，对股东、债权人、员工、客户等利益相关方承担相应的社会责任，追求公司与社会的和谐可持续发展。上市公司及其子公司是否属于国家环境保护部门规定的重污染行业□是√否□不适用上市公司及其子公司是否存在其他重大社会安全问题□是√否□不适用报告期内是否被行政处罚□是√否□不适用十七、报告期内接待调研、沟通、采访等活动登记表</w:t>
      </w:r>
    </w:p>
    <w:p w14:paraId="0865E67B" w14:textId="77777777" w:rsidR="005F36B9" w:rsidRDefault="005F36B9">
      <w:pPr>
        <w:rPr>
          <w:lang w:eastAsia="zh-CN"/>
        </w:rPr>
      </w:pPr>
    </w:p>
    <w:p w14:paraId="48479F4D" w14:textId="77777777" w:rsidR="005F36B9" w:rsidRDefault="005F36B9">
      <w:pPr>
        <w:rPr>
          <w:lang w:eastAsia="zh-CN"/>
        </w:rPr>
      </w:pPr>
    </w:p>
    <w:p w14:paraId="7EB723A9" w14:textId="77777777" w:rsidR="005F36B9" w:rsidRDefault="005F36B9">
      <w:pPr>
        <w:rPr>
          <w:lang w:eastAsia="zh-CN"/>
        </w:rPr>
      </w:pPr>
    </w:p>
    <w:sectPr w:rsidR="005F36B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FB610" w14:textId="77777777" w:rsidR="004664AA" w:rsidRDefault="004664AA">
      <w:pPr>
        <w:spacing w:line="240" w:lineRule="auto"/>
      </w:pPr>
      <w:r>
        <w:separator/>
      </w:r>
    </w:p>
  </w:endnote>
  <w:endnote w:type="continuationSeparator" w:id="0">
    <w:p w14:paraId="4B5806F5" w14:textId="77777777" w:rsidR="004664AA" w:rsidRDefault="00466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EB955" w14:textId="77777777" w:rsidR="004664AA" w:rsidRDefault="004664AA">
      <w:pPr>
        <w:spacing w:after="0"/>
      </w:pPr>
      <w:r>
        <w:separator/>
      </w:r>
    </w:p>
  </w:footnote>
  <w:footnote w:type="continuationSeparator" w:id="0">
    <w:p w14:paraId="3F568B08" w14:textId="77777777" w:rsidR="004664AA" w:rsidRDefault="004664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24492309">
    <w:abstractNumId w:val="1"/>
  </w:num>
  <w:num w:numId="2" w16cid:durableId="753667782">
    <w:abstractNumId w:val="4"/>
  </w:num>
  <w:num w:numId="3" w16cid:durableId="1748266436">
    <w:abstractNumId w:val="5"/>
  </w:num>
  <w:num w:numId="4" w16cid:durableId="866597814">
    <w:abstractNumId w:val="2"/>
  </w:num>
  <w:num w:numId="5" w16cid:durableId="1284337954">
    <w:abstractNumId w:val="0"/>
  </w:num>
  <w:num w:numId="6" w16cid:durableId="1809122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15074B"/>
    <w:rsid w:val="00172180"/>
    <w:rsid w:val="0029639D"/>
    <w:rsid w:val="00326F90"/>
    <w:rsid w:val="004664AA"/>
    <w:rsid w:val="005F36B9"/>
    <w:rsid w:val="00AA1D8D"/>
    <w:rsid w:val="00B47730"/>
    <w:rsid w:val="00CB0664"/>
    <w:rsid w:val="00FC693F"/>
    <w:rsid w:val="3E216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870F52"/>
  <w14:defaultImageDpi w14:val="300"/>
  <w15:docId w15:val="{513C8F21-45D3-43F7-AA50-DAE0DD3C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EE294B67F88C4A2B81292176954E4D1A</vt:lpwstr>
  </property>
</Properties>
</file>