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AFB11" w14:textId="77777777" w:rsidR="00D6372E" w:rsidRDefault="00000000">
      <w:pPr>
        <w:numPr>
          <w:ilvl w:val="0"/>
          <w:numId w:val="7"/>
        </w:numPr>
        <w:rPr>
          <w:lang w:eastAsia="zh-CN"/>
        </w:rPr>
      </w:pPr>
      <w:r>
        <w:rPr>
          <w:lang w:eastAsia="zh-CN"/>
        </w:rPr>
        <w:t>概述报告期内，公司实现营业总收入2,544,908,254元，较上年同期增长17.91%；营业利润327,843,295元，较上年同期增长210.86%；利润总额为308,860,875元，较上年同期增长246.55%；归属于上市公司股东的净利润为127,774,445元，较上年同期增长150.67%。报告期内，根据未来整体战略规划和业务转型需要，公司</w:t>
      </w:r>
      <w:r>
        <w:rPr>
          <w:highlight w:val="red"/>
          <w:lang w:eastAsia="zh-CN"/>
        </w:rPr>
        <w:t>收缩轴承</w:t>
      </w:r>
      <w:r>
        <w:rPr>
          <w:lang w:eastAsia="zh-CN"/>
        </w:rPr>
        <w:t>业务、</w:t>
      </w:r>
      <w:r>
        <w:rPr>
          <w:highlight w:val="red"/>
          <w:lang w:eastAsia="zh-CN"/>
        </w:rPr>
        <w:t>数控机床</w:t>
      </w:r>
      <w:r>
        <w:rPr>
          <w:lang w:eastAsia="zh-CN"/>
        </w:rPr>
        <w:t>业务的业务规模，逐渐剥离原主营业务资产，以人民币253,821,888.9元向浙江天马电梯有限公司出售本公司持有的北京天马轴承有限公司93.81%股权；以人民币243,287,386.23元向浙江天马电梯有限公司出售全资子公司贵州天马虹山轴承有限公司100%股权；公司子公司成都天马铁路轴承有限公司以人民币146,292,542.87元向浙江天马电梯有限公司出售其持有的成都天马精密机械有限公司100%股权；以人民币41,155.09万元向浙江天马电梯有限公司出售全资子公司TBGAGRIHOLDINGSPTYLTD；以人民币106,800.63万元向霍尔果斯天马创业投资集团有限公司出售全资子公司浙江天马轴承集团有限公司100%股权。配合上述转型计划，公司于2017年7月21日召开的第六届董事会第三次会议上审议通过了《《关于收购博易智软（北京）技术股份有限公司股权的议案》，以自筹资金33,803.97万元收购博易智软（北京）技术股份有限公司56.3401%的股权。上述收购已经经过公司2017年第五次股东大会审议通过。2017年8月11日，公司召开了第六届董事会第四次临时会议，审议通过了《关于继续收购博易智软（北京）技术股份有限公司43.1154%股权的议案》。即在以自筹资金33,803.97万元收购博易智软（北京）技术股份有限公司56.3401%的股权后，公司持续与博易智软（北京）技术股份有限公司其他股东进行洽谈协商，以现金25,524.91万元收购博易智软（北京）技术股份有限公司剩余43.1154%的股权。报告期内，为了提高公司的并购整合能力和公司实力，共同开发产业相关优质项目，公司与专业机构浙江诚合资产管理有限公司合作设立杭州天马诚合投资合伙企业（有限合伙）公司或全资子公司出资不低于6.4亿元人民币作为劣后级有限合伙人；与专业机构恒天融泽资产管理有限公司合作出资设立杭州天马星河投资合伙企业（有限合伙），公司或其控制主体出资不超过基金规模的20%（即4.6亿元）资金作为劣后级有限合伙人，公司全资孙公司北京星河之光投资管理有限公司出资1,000万元，担任基金普通合伙人（基金管理人）；与深圳市正泽投资有限公司、中核恒通广东产业投资有限公司共同发起设立广州星河正泽股权投资管理合伙企业（有限合伙），公司拟出资不超过7.5亿元。二、主营业务分析1、概述参见“经营情况讨论与分析”中的“一、概述”相关内容。2、收入与成本（1）营业收入构成单位：元（2）占公司营业收入或营业利润10%以上的行业、产品或地区情况√适用□不适用公司是否需要遵守特殊行业的披露要求否单位：元公司主营业务数据统计口径在报告期发生调整的情况下，公司最近1年按报告期末口径调整后的主营业务数据□适用√不适用（3）公司实物销售收入是否大于劳务收入□是√否（4）公司已签订的重大销售合同截至本报告期的履行情况□适用√不适用（5）营业成本构成行业和产品分类单位：元单位：元说明（6）报告期内合并范围是否发生变动√是□否（1）2017年6月通过出售贵州天马虹山轴承有限公司100%股权，不再纳入合并报表范围。（2）2017年9月通过出售北京天马轴承有限公司93.81%股权，不再纳入合并报表范围。（3）2017年12月通过出售浙江天马轴承有限公司100%股权，不再纳入合并报表范围。（4）2017年6月通过出售成都天马精密机械有限公司100%股权，不再纳入合并报表范围。（5）2017年3月通过设立方式，将北京星河互联科技有限公司纳入合并报表范围。（6）2017</w:t>
      </w:r>
      <w:r>
        <w:rPr>
          <w:lang w:eastAsia="zh-CN"/>
        </w:rPr>
        <w:lastRenderedPageBreak/>
        <w:t>年3月通过设立方式，将北京星河企服信息技术有限公司纳入合并报表范围。（7）2017年5月通过设立方式，将杭州天马星河投资合伙企业（有限合伙）纳入合并报表范围。（8）2017年1月通过设立方式，将北京鸿晨企业管理中心（有限合伙）纳入合并报表范围。（9）2017年12月通过设立方式，将成都天马企业管理有限公司纳入合并报表范围。（10）2017年3月通过设立方式，将杭州天马轴承销售有限公司纳入合并报表范围。（11）2017年12月通过设立方式，将GALAXYVENTURESCAPITALINC纳入合并报表范围。（12）2017年12月通过设立方式，将GALAXYINTERNETTECHNOLOGY（AMERICAN）LLCC纳入合并报表范围。（13）2017年2月通过设立方式，将杭州天马诚合投资合伙企业（有限合伙）纳入合并报表范围。（7）公司报告期内业务、产品或服务发生重大变化或调整有关情况□适用√不适用（8）主要销售客户和主要供应商情况公司主要销售客户情况公司前5大客户资料主要客户其他情况说明□适用√不适用公司主要供应商情况公司前5名供应商资料主要供应商其他情况说明□适用√不适用3、费用单位：元4、研发投入√适用□不适用机床方面：相继研制</w:t>
      </w:r>
      <w:r w:rsidRPr="00C50A95">
        <w:rPr>
          <w:lang w:eastAsia="zh-CN"/>
        </w:rPr>
        <w:t>了VTMF160高精度立式</w:t>
      </w:r>
      <w:r>
        <w:rPr>
          <w:highlight w:val="red"/>
          <w:lang w:eastAsia="zh-CN"/>
        </w:rPr>
        <w:t>铣车柔性加工单元</w:t>
      </w:r>
      <w:r>
        <w:rPr>
          <w:lang w:eastAsia="zh-CN"/>
        </w:rPr>
        <w:t>、</w:t>
      </w:r>
      <w:r w:rsidRPr="00C50A95">
        <w:rPr>
          <w:lang w:eastAsia="zh-CN"/>
        </w:rPr>
        <w:t>3MK6320</w:t>
      </w:r>
      <w:r>
        <w:rPr>
          <w:highlight w:val="red"/>
          <w:lang w:eastAsia="zh-CN"/>
        </w:rPr>
        <w:t>数控无心超精磨床</w:t>
      </w:r>
      <w:r>
        <w:rPr>
          <w:lang w:eastAsia="zh-CN"/>
        </w:rPr>
        <w:t>、</w:t>
      </w:r>
      <w:r w:rsidRPr="00C50A95">
        <w:rPr>
          <w:lang w:eastAsia="zh-CN"/>
        </w:rPr>
        <w:t>SVT63-NC</w:t>
      </w:r>
      <w:r>
        <w:rPr>
          <w:highlight w:val="red"/>
          <w:lang w:eastAsia="zh-CN"/>
        </w:rPr>
        <w:t>数控单柱立式车床</w:t>
      </w:r>
      <w:r>
        <w:rPr>
          <w:lang w:eastAsia="zh-CN"/>
        </w:rPr>
        <w:t>等一批达到国际先进水平的新产品。轴承方面：继续加大公司优势产品的研发投入，巩固</w:t>
      </w:r>
      <w:r>
        <w:rPr>
          <w:highlight w:val="red"/>
          <w:lang w:eastAsia="zh-CN"/>
        </w:rPr>
        <w:t>风电轴承</w:t>
      </w:r>
      <w:r>
        <w:rPr>
          <w:lang w:eastAsia="zh-CN"/>
        </w:rPr>
        <w:t>，</w:t>
      </w:r>
      <w:r>
        <w:rPr>
          <w:highlight w:val="red"/>
          <w:lang w:eastAsia="zh-CN"/>
        </w:rPr>
        <w:t>铁路轴承</w:t>
      </w:r>
      <w:r>
        <w:rPr>
          <w:lang w:eastAsia="zh-CN"/>
        </w:rPr>
        <w:t>，</w:t>
      </w:r>
      <w:r>
        <w:rPr>
          <w:highlight w:val="red"/>
          <w:lang w:eastAsia="zh-CN"/>
        </w:rPr>
        <w:t>短圆柱滚子轴承</w:t>
      </w:r>
      <w:r>
        <w:rPr>
          <w:lang w:eastAsia="zh-CN"/>
        </w:rPr>
        <w:t>等优势产品的领先地位。报告期内研发投入有所上升，研发投入为9919.68万元，较去年上升14.84%，研发投入占营业收入3.90%，较去年减少0.10%。公司研发投入情况研发投入总额占营业收入的比重较上年发生显着变化的原因□适用√不适用研发投入资本化率大幅变动的原因及其合理性说明□适用√不适用5、现金流单位：元相关数据同比发生重大变动的主要影响因素说明√适用□不适用（1）经营活动产生的现金流量净额较上期减少140.74%，主要系本期材料采购、货物采购预付款支出金额较大所致。（2）投资活动现金流入较上期增加2541.34%，主要系本期处置子公司收到的现金导致。（3）投资活动现金流出较上期增加1590.37%，主要系本期预付博易投资款、对杭州天马诚合基金出资、对以公允价值计量且其变动计入当期损益的金融资产出资，支出金额较大导致。（4）投资活动产生的现金流量净额较上期增加1245.07%，主要系主要系本期处置子公司收到的现金导致。（4）筹资活动现金流入较上期增加1281.93%，主要系本期取得天马星河优先级有限合伙人出资款、借款增加导致。（5）筹资活动产生的现金流量净额较上期增加1396.55%，主要系本期取得天马星河优先级有限合伙人出资款、本期借款收支净额大于上期导致。（6）现金及现金等价物净增加额较上期减少123.56%，主要系对外投资支出金额较大导致。报告期内公司经营活动产生的现金净流量与本年度净利润存在重大差异的原因说明√适用□不适用经营活动产生的现金流量净额低于净利润主要系公司计提资产减值损失、固定资产折旧、生产性生物资产折旧、投资损失、存货的减少不影响现金流，经营性应收项目的减少、经营性应付项目的增加不影响净利润。三、非主营业务分析□适用√不适用四、资产及负债状况分析1、资产构成重大变动情况单位：元2、以公允价值计量的资产和负债□适用√不适用3、截至报告期末的资产权利受限情况喀什星河持有的本公司部分股票11,52.7万股（占公司总股本的0.97%，占其直接持有公司股份总数的3.24%）于2017年10月12日被北京市第一中级人民法院裁定司法冻结。五、投资状况分析1、总体情况√适用□不适用2、报告期内获取的重大的股权投资情况□适用√不适用3、报告期内正在进行的重大的非股权投资情况□适用√不适用4、以公允价值计量的金融资产□适用√不适用5、募集资</w:t>
      </w:r>
      <w:r>
        <w:rPr>
          <w:lang w:eastAsia="zh-CN"/>
        </w:rPr>
        <w:lastRenderedPageBreak/>
        <w:t>金使用情况□适用√不适用公司报告期无募集资金使用情况。六、重大资产和股权出售1、出售重大资产情况□适用√不适用公司报告期未出售重大资产。2、出售重大股权情况√适用□不适用七、主要控股参股公司分析√适用□不适用主要子公司及对公司净利润影响达10%以上的参股公司情况单位：元报告期内取得和处置子公司的情况√适用□不适用主要控股参股公司情况说明八、公司控制的结构化主体情况□适用√不适用九、公司未来发展的展望（一）公司未来发展战略公司秉承“做产业互联网时代大数据驱动的智能商业服务提供商，让商业更简单”的企业愿景，在保证原有</w:t>
      </w:r>
      <w:r>
        <w:rPr>
          <w:highlight w:val="red"/>
          <w:lang w:eastAsia="zh-CN"/>
        </w:rPr>
        <w:t>轴承</w:t>
      </w:r>
      <w:r>
        <w:rPr>
          <w:lang w:eastAsia="zh-CN"/>
        </w:rPr>
        <w:t>业务和</w:t>
      </w:r>
      <w:r>
        <w:rPr>
          <w:highlight w:val="red"/>
          <w:lang w:eastAsia="zh-CN"/>
        </w:rPr>
        <w:t>数控机床</w:t>
      </w:r>
      <w:r>
        <w:rPr>
          <w:lang w:eastAsia="zh-CN"/>
        </w:rPr>
        <w:t>业务经营稳定的前提下，开辟新的利润增长点，以实现公司的持续发展。公司以</w:t>
      </w:r>
      <w:r>
        <w:rPr>
          <w:highlight w:val="red"/>
          <w:lang w:eastAsia="zh-CN"/>
        </w:rPr>
        <w:t>云计算</w:t>
      </w:r>
      <w:r>
        <w:rPr>
          <w:lang w:eastAsia="zh-CN"/>
        </w:rPr>
        <w:t>、</w:t>
      </w:r>
      <w:r>
        <w:rPr>
          <w:highlight w:val="red"/>
          <w:lang w:eastAsia="zh-CN"/>
        </w:rPr>
        <w:t>大数据</w:t>
      </w:r>
      <w:r>
        <w:rPr>
          <w:lang w:eastAsia="zh-CN"/>
        </w:rPr>
        <w:t>和</w:t>
      </w:r>
      <w:r>
        <w:rPr>
          <w:highlight w:val="red"/>
          <w:lang w:eastAsia="zh-CN"/>
        </w:rPr>
        <w:t>人工智能</w:t>
      </w:r>
      <w:r>
        <w:rPr>
          <w:lang w:eastAsia="zh-CN"/>
        </w:rPr>
        <w:t>技术为驱动，打造</w:t>
      </w:r>
      <w:r>
        <w:rPr>
          <w:highlight w:val="red"/>
          <w:lang w:eastAsia="zh-CN"/>
        </w:rPr>
        <w:t>智能商业人工智能平台</w:t>
      </w:r>
      <w:r>
        <w:rPr>
          <w:lang w:eastAsia="zh-CN"/>
        </w:rPr>
        <w:t>，通过</w:t>
      </w:r>
      <w:r>
        <w:rPr>
          <w:highlight w:val="red"/>
          <w:lang w:eastAsia="zh-CN"/>
        </w:rPr>
        <w:t>智能零售</w:t>
      </w:r>
      <w:r w:rsidRPr="00C50A95">
        <w:rPr>
          <w:lang w:eastAsia="zh-CN"/>
        </w:rPr>
        <w:t>与</w:t>
      </w:r>
      <w:r>
        <w:rPr>
          <w:highlight w:val="red"/>
          <w:lang w:eastAsia="zh-CN"/>
        </w:rPr>
        <w:t>生活服务平台</w:t>
      </w:r>
      <w:r>
        <w:rPr>
          <w:lang w:eastAsia="zh-CN"/>
        </w:rPr>
        <w:t>、</w:t>
      </w:r>
      <w:r>
        <w:rPr>
          <w:highlight w:val="red"/>
          <w:lang w:eastAsia="zh-CN"/>
        </w:rPr>
        <w:t>智能金融科技平台</w:t>
      </w:r>
      <w:r>
        <w:rPr>
          <w:lang w:eastAsia="zh-CN"/>
        </w:rPr>
        <w:t>、</w:t>
      </w:r>
      <w:r>
        <w:rPr>
          <w:highlight w:val="red"/>
          <w:lang w:eastAsia="zh-CN"/>
        </w:rPr>
        <w:t>智能城市</w:t>
      </w:r>
      <w:r w:rsidRPr="00C50A95">
        <w:rPr>
          <w:lang w:eastAsia="zh-CN"/>
        </w:rPr>
        <w:t>与</w:t>
      </w:r>
      <w:r>
        <w:rPr>
          <w:highlight w:val="red"/>
          <w:lang w:eastAsia="zh-CN"/>
        </w:rPr>
        <w:t>政务平台</w:t>
      </w:r>
      <w:r>
        <w:rPr>
          <w:lang w:eastAsia="zh-CN"/>
        </w:rPr>
        <w:t>和</w:t>
      </w:r>
      <w:r>
        <w:rPr>
          <w:highlight w:val="red"/>
          <w:lang w:eastAsia="zh-CN"/>
        </w:rPr>
        <w:t>智能制造平台</w:t>
      </w:r>
      <w:r>
        <w:rPr>
          <w:lang w:eastAsia="zh-CN"/>
        </w:rPr>
        <w:t>，通过</w:t>
      </w:r>
      <w:r>
        <w:rPr>
          <w:highlight w:val="red"/>
          <w:lang w:eastAsia="zh-CN"/>
        </w:rPr>
        <w:t>企业SaaS</w:t>
      </w:r>
      <w:r w:rsidRPr="00C50A95">
        <w:rPr>
          <w:lang w:eastAsia="zh-CN"/>
        </w:rPr>
        <w:t>服务</w:t>
      </w:r>
      <w:r>
        <w:rPr>
          <w:lang w:eastAsia="zh-CN"/>
        </w:rPr>
        <w:t>、</w:t>
      </w:r>
      <w:r>
        <w:rPr>
          <w:highlight w:val="red"/>
          <w:lang w:eastAsia="zh-CN"/>
        </w:rPr>
        <w:t>大数据应用</w:t>
      </w:r>
      <w:r>
        <w:rPr>
          <w:lang w:eastAsia="zh-CN"/>
        </w:rPr>
        <w:t>、</w:t>
      </w:r>
      <w:r>
        <w:rPr>
          <w:highlight w:val="red"/>
          <w:lang w:eastAsia="zh-CN"/>
        </w:rPr>
        <w:t>商业人工智能</w:t>
      </w:r>
      <w:r>
        <w:rPr>
          <w:lang w:eastAsia="zh-CN"/>
        </w:rPr>
        <w:t>与行业特定场景融合，提升客户场景化智能决策能力，帮助客户做出高质量的决策，用智能商业服务来颠覆和重塑传统商业。星智工程、火星计划和生态赋能是公司战略三大执行路径。星智工程旨在打造智能商业开放平台AIaaS（ArtificialIntelligenceasaService，</w:t>
      </w:r>
      <w:r>
        <w:rPr>
          <w:highlight w:val="red"/>
          <w:lang w:eastAsia="zh-CN"/>
        </w:rPr>
        <w:t>人工智能</w:t>
      </w:r>
      <w:r>
        <w:rPr>
          <w:lang w:eastAsia="zh-CN"/>
        </w:rPr>
        <w:t>即平台），平台具备轻量级、标准化、适应性及动态进化特点，既服务于公司自身的业务发展，也向全球智能商业生态圈伙伴开放；火星计划是以联合创业模式吸引有创业梦想的精英创业团队，公司将以事业合伙人的心态为团队提供360度的支持，包括战略设计、模式打磨、技术导入、产品雕琢、管理经验等服务。生态赋能是通过产业基金投资构建产业生态，从而在被投企业间形成强大的网络效应。（二）下一年度的经营计划1、公司回顾总结前期披露的发展战略和经营计划在报告期内的进展情况在保障公司平稳发展的基础上，逐渐减少对传统业务的投入，稳步剥离传统</w:t>
      </w:r>
      <w:r>
        <w:rPr>
          <w:highlight w:val="red"/>
          <w:lang w:eastAsia="zh-CN"/>
        </w:rPr>
        <w:t>轴承</w:t>
      </w:r>
      <w:r>
        <w:rPr>
          <w:lang w:eastAsia="zh-CN"/>
        </w:rPr>
        <w:t>业务，加大对新业务的投资力度。通过内生式发展与外延式并购开展战略转型，围绕智能商业领域组建研发、市场和交付团队，培养新型业务；通过外部并购和对外投资，加快布局企业</w:t>
      </w:r>
      <w:r>
        <w:rPr>
          <w:highlight w:val="red"/>
          <w:lang w:eastAsia="zh-CN"/>
        </w:rPr>
        <w:t>SaaS服务</w:t>
      </w:r>
      <w:r>
        <w:rPr>
          <w:lang w:eastAsia="zh-CN"/>
        </w:rPr>
        <w:t>、</w:t>
      </w:r>
      <w:r>
        <w:rPr>
          <w:highlight w:val="red"/>
          <w:lang w:eastAsia="zh-CN"/>
        </w:rPr>
        <w:t>大数据服务平台</w:t>
      </w:r>
      <w:r>
        <w:rPr>
          <w:lang w:eastAsia="zh-CN"/>
        </w:rPr>
        <w:t>和基于人工智能的智能商业平台。报告期内，公司企业</w:t>
      </w:r>
      <w:r>
        <w:rPr>
          <w:highlight w:val="red"/>
          <w:lang w:eastAsia="zh-CN"/>
        </w:rPr>
        <w:t>SaaS</w:t>
      </w:r>
      <w:r>
        <w:rPr>
          <w:lang w:eastAsia="zh-CN"/>
        </w:rPr>
        <w:t>、</w:t>
      </w:r>
      <w:r>
        <w:rPr>
          <w:highlight w:val="red"/>
          <w:lang w:eastAsia="zh-CN"/>
        </w:rPr>
        <w:t>大数据</w:t>
      </w:r>
      <w:r>
        <w:rPr>
          <w:lang w:eastAsia="zh-CN"/>
        </w:rPr>
        <w:t>和</w:t>
      </w:r>
      <w:r>
        <w:rPr>
          <w:highlight w:val="red"/>
          <w:lang w:eastAsia="zh-CN"/>
        </w:rPr>
        <w:t>智能商业</w:t>
      </w:r>
      <w:r>
        <w:rPr>
          <w:lang w:eastAsia="zh-CN"/>
        </w:rPr>
        <w:t>布局初见成效，面向智能商业战略的团队初步构建，智能商业的市场、产品和服务生态正在形成。2、经营目标继续缩减在传统制造业的投入，加快推进向“大数据驱动的智能商业服务提供商”转型升级，形成公司新的主营各业务和增长点。传统轴承制造业将延续“一控三提升”的生产管理模式，智能商业服务将着力打造智能商业开放平台AIaaS（ArtificialIntelligenceasaService，人工智能即服务），推动企业</w:t>
      </w:r>
      <w:r>
        <w:rPr>
          <w:highlight w:val="red"/>
          <w:lang w:eastAsia="zh-CN"/>
        </w:rPr>
        <w:t>SaaS服务</w:t>
      </w:r>
      <w:r>
        <w:rPr>
          <w:lang w:eastAsia="zh-CN"/>
        </w:rPr>
        <w:t>、</w:t>
      </w:r>
      <w:r>
        <w:rPr>
          <w:highlight w:val="red"/>
          <w:lang w:eastAsia="zh-CN"/>
        </w:rPr>
        <w:t>大数据</w:t>
      </w:r>
      <w:r>
        <w:rPr>
          <w:lang w:eastAsia="zh-CN"/>
        </w:rPr>
        <w:t>应用服务和商业</w:t>
      </w:r>
      <w:r>
        <w:rPr>
          <w:highlight w:val="red"/>
          <w:lang w:eastAsia="zh-CN"/>
        </w:rPr>
        <w:t>人工智能服务</w:t>
      </w:r>
      <w:r>
        <w:rPr>
          <w:lang w:eastAsia="zh-CN"/>
        </w:rPr>
        <w:t>在零售与生活服务、金融科技、城市与政务、智能制造等领域的应用。3、公司的具体业务计划主要包括：（1）打造人工智能平台</w:t>
      </w:r>
      <w:r w:rsidRPr="00C50A95">
        <w:rPr>
          <w:lang w:eastAsia="zh-CN"/>
        </w:rPr>
        <w:t>。智能商业开放平台</w:t>
      </w:r>
      <w:r>
        <w:rPr>
          <w:highlight w:val="red"/>
          <w:lang w:eastAsia="zh-CN"/>
        </w:rPr>
        <w:t>AIaaS</w:t>
      </w:r>
      <w:r>
        <w:rPr>
          <w:lang w:eastAsia="zh-CN"/>
        </w:rPr>
        <w:t>（ArtificialIntelligenceasaService，</w:t>
      </w:r>
      <w:r>
        <w:rPr>
          <w:highlight w:val="red"/>
          <w:lang w:eastAsia="zh-CN"/>
        </w:rPr>
        <w:t>人工智能</w:t>
      </w:r>
      <w:r>
        <w:rPr>
          <w:lang w:eastAsia="zh-CN"/>
        </w:rPr>
        <w:t>即服务）是智能商业的核心技术平台和公司智能商业生态的能力开放平台。公司将继续推动</w:t>
      </w:r>
      <w:r>
        <w:rPr>
          <w:highlight w:val="red"/>
          <w:lang w:eastAsia="zh-CN"/>
        </w:rPr>
        <w:t>人工智能平台</w:t>
      </w:r>
      <w:r>
        <w:rPr>
          <w:lang w:eastAsia="zh-CN"/>
        </w:rPr>
        <w:t>建设，并通过与优秀的人工智能公司合作、典型的应用场景融合等方式，不断优化智能商业开放平台的技术和能力，从而为客户和合作伙伴提供优质的“云端大脑”服务。（2）深耕四大应用领域。公司将聚焦智能零售与生活服务、智能金融科技、智能城市与政务、智能制造四大领域，从客户智能化需求出发，结合具体应用场景，构建智能商业产品和服务体系，健全企业</w:t>
      </w:r>
      <w:r>
        <w:rPr>
          <w:highlight w:val="red"/>
          <w:lang w:eastAsia="zh-CN"/>
        </w:rPr>
        <w:t>云服务</w:t>
      </w:r>
      <w:r>
        <w:rPr>
          <w:lang w:eastAsia="zh-CN"/>
        </w:rPr>
        <w:t>、</w:t>
      </w:r>
      <w:r>
        <w:rPr>
          <w:highlight w:val="red"/>
          <w:lang w:eastAsia="zh-CN"/>
        </w:rPr>
        <w:t>大数据</w:t>
      </w:r>
      <w:r>
        <w:rPr>
          <w:lang w:eastAsia="zh-CN"/>
        </w:rPr>
        <w:t>应用服务和商业</w:t>
      </w:r>
      <w:r>
        <w:rPr>
          <w:highlight w:val="red"/>
          <w:lang w:eastAsia="zh-CN"/>
        </w:rPr>
        <w:t>人工智能服务</w:t>
      </w:r>
      <w:r>
        <w:rPr>
          <w:lang w:eastAsia="zh-CN"/>
        </w:rPr>
        <w:t>，助力政府和企业实现智能决策。（3）加大投资并购力度。公司在内生发展智能商业业务外，将加大对智能商业相关领域的投资和并购力度，寻求外延式发展与扩张。计划以自行投资、收</w:t>
      </w:r>
      <w:r>
        <w:rPr>
          <w:lang w:eastAsia="zh-CN"/>
        </w:rPr>
        <w:lastRenderedPageBreak/>
        <w:t>购或与外部专业机构合作成立投资基金、并购基金的方式投资、收购行业内技术领先、产品领先、具备盈利潜力或持续盈利能力优秀的企业，充分发挥吸收利用这些企业的技术优势和所服务的客户群体，加快公司业务转型速度。（4）减少传统业务投入。继续战略</w:t>
      </w:r>
      <w:r>
        <w:rPr>
          <w:highlight w:val="red"/>
          <w:lang w:eastAsia="zh-CN"/>
        </w:rPr>
        <w:t>收缩轴承</w:t>
      </w:r>
      <w:r>
        <w:rPr>
          <w:lang w:eastAsia="zh-CN"/>
        </w:rPr>
        <w:t>和</w:t>
      </w:r>
      <w:r>
        <w:rPr>
          <w:highlight w:val="red"/>
          <w:lang w:eastAsia="zh-CN"/>
        </w:rPr>
        <w:t>数控机床</w:t>
      </w:r>
      <w:r>
        <w:rPr>
          <w:lang w:eastAsia="zh-CN"/>
        </w:rPr>
        <w:t>等传统业务，并考虑在适当时机，将盈利状况不佳的资产出售给霍尔果斯天马创业投资集团有限公司及其所属企业，或通过招标、挂牌、拍卖等形式转让给不特定的第三方，以进一步改善上市公司的持续盈利能力。（5）加快推进人才建设。随着公司战略转型的深入推进，公司亟待优化人才体系，将驱动传统</w:t>
      </w:r>
      <w:r>
        <w:rPr>
          <w:highlight w:val="red"/>
          <w:lang w:eastAsia="zh-CN"/>
        </w:rPr>
        <w:t>轴承</w:t>
      </w:r>
      <w:r>
        <w:rPr>
          <w:lang w:eastAsia="zh-CN"/>
        </w:rPr>
        <w:t>和</w:t>
      </w:r>
      <w:r>
        <w:rPr>
          <w:highlight w:val="red"/>
          <w:lang w:eastAsia="zh-CN"/>
        </w:rPr>
        <w:t>数控机床</w:t>
      </w:r>
      <w:r>
        <w:rPr>
          <w:lang w:eastAsia="zh-CN"/>
        </w:rPr>
        <w:t>为主的专业人才转换为以</w:t>
      </w:r>
      <w:r>
        <w:rPr>
          <w:highlight w:val="red"/>
          <w:lang w:eastAsia="zh-CN"/>
        </w:rPr>
        <w:t>智能商业</w:t>
      </w:r>
      <w:r>
        <w:rPr>
          <w:lang w:eastAsia="zh-CN"/>
        </w:rPr>
        <w:t>业务为主的人才。公司将通过创新薪酬与激励机制，吸引一批优秀的人工智能专家，培养一批智能商业产品经理，建立人才培养梯队，打造一支执行力强、善于沟通协作、专业能力扎实的优秀队伍。（三）公司可能面对的风险1、市场环境变化的风险在过去的经济增长方式中，主要依赖于投资方面的增长来带动经济的快速增长，而市场需求的提升则更多的依赖于国内政策的引导，以及劳动力成本的相对优势即人口红利。相对而言，科技进步和管理创新所发挥的作用相对有限。而随着经济结构的持续转型和政策调控重点的变化，未来经济增长方式将发生明显变化，高科技产业以及新兴产业将成为经济的主要拉动引擎，市场需求也将更倾向于质量更高的高附加值产品，这也表明公司所处的行业的市场环境已经明显改变，市场对不同类型的产品需求占比的转变将更加考验管理层的经营方式和理念，也无形中提高了对管理层应变市场变化的要求。对此，公司将进一步调整产品结构，大力研发新产品，进一步提升竞争力。2、原材料价格波动风险公司生产经营需要各类轴承钢、铸件和相关配件等，目前公司主要原材料国内市场供应充足，且与主要供应商建立了较为长期稳定的合作关系，能够满足公司正常生产经营的需要。倘若原材料出现价格大幅上涨、供应不足等问题，将会增加公司产品成本，从而对公司的经营业绩产生不利影响。3、市场竞争的风险公司的产品主要定位在替代进口的“高、精、尖”上，虽有较高的进入壁垒，但仍很难避免国际行业巨头进入所带来的产品竞争，根据统计，目前轴承行业年均进口替代、外资品牌替代空间近500亿元，此外，受到相应的规模效应影响，公司的发展速度也难免受到一定的延缓。4、管理风险随着公司规模的不断扩大，公司员工的增长速度也不断加快，培养共同价值观、信念、态度和行为准则自然需要较长的时间，这无形中也对公司管理团队的管理和协调能力的要求提出了更高的要求，此外，具有较高管理水平和较强专业能力的人才的扩充使得公司的运营成本不断提升，人力成本的不断抬高持续提升公司的费用。未来公司将加强管理队伍建设，完善公司治理的经营管理机制，形成更加科学有效的决策机制，使公司的经营模式和管理机制能够更加符合公司发展需要。十、接待调研、沟通、采访等活动1、报告期内接待调研、沟通、采访等活动登记表√适用□不适用</w:t>
      </w:r>
    </w:p>
    <w:p w14:paraId="6E6E9457" w14:textId="77777777" w:rsidR="00D6372E" w:rsidRDefault="00000000">
      <w:pPr>
        <w:rPr>
          <w:lang w:eastAsia="zh-CN"/>
        </w:rPr>
      </w:pPr>
      <w:r>
        <w:rPr>
          <w:rFonts w:hint="eastAsia"/>
          <w:lang w:eastAsia="zh-CN"/>
        </w:rPr>
        <w:t>标签数量：42</w:t>
      </w:r>
    </w:p>
    <w:sectPr w:rsidR="00D6372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C39C6" w14:textId="77777777" w:rsidR="00935AD3" w:rsidRDefault="00935AD3">
      <w:pPr>
        <w:spacing w:line="240" w:lineRule="auto"/>
      </w:pPr>
      <w:r>
        <w:separator/>
      </w:r>
    </w:p>
  </w:endnote>
  <w:endnote w:type="continuationSeparator" w:id="0">
    <w:p w14:paraId="185FD408" w14:textId="77777777" w:rsidR="00935AD3" w:rsidRDefault="00935A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E42D3" w14:textId="77777777" w:rsidR="00935AD3" w:rsidRDefault="00935AD3">
      <w:pPr>
        <w:spacing w:after="0"/>
      </w:pPr>
      <w:r>
        <w:separator/>
      </w:r>
    </w:p>
  </w:footnote>
  <w:footnote w:type="continuationSeparator" w:id="0">
    <w:p w14:paraId="5B3A7995" w14:textId="77777777" w:rsidR="00935AD3" w:rsidRDefault="00935AD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0BB19DB"/>
    <w:multiLevelType w:val="singleLevel"/>
    <w:tmpl w:val="F0BB19DB"/>
    <w:lvl w:ilvl="0">
      <w:start w:val="1"/>
      <w:numFmt w:val="chineseCounting"/>
      <w:suff w:val="nothing"/>
      <w:lvlText w:val="%1、"/>
      <w:lvlJc w:val="left"/>
      <w:rPr>
        <w:rFonts w:hint="eastAsia"/>
      </w:rPr>
    </w:lvl>
  </w:abstractNum>
  <w:abstractNum w:abstractNumId="1"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2"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3"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4"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6"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264776487">
    <w:abstractNumId w:val="2"/>
  </w:num>
  <w:num w:numId="2" w16cid:durableId="427429299">
    <w:abstractNumId w:val="5"/>
  </w:num>
  <w:num w:numId="3" w16cid:durableId="237524314">
    <w:abstractNumId w:val="6"/>
  </w:num>
  <w:num w:numId="4" w16cid:durableId="1850947458">
    <w:abstractNumId w:val="3"/>
  </w:num>
  <w:num w:numId="5" w16cid:durableId="1033072495">
    <w:abstractNumId w:val="1"/>
  </w:num>
  <w:num w:numId="6" w16cid:durableId="1395080733">
    <w:abstractNumId w:val="4"/>
  </w:num>
  <w:num w:numId="7" w16cid:durableId="1489830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hZTMwYWY0YWMyYTIxYjYxZTZhNzBiZWMzYzcyYjgifQ=="/>
  </w:docVars>
  <w:rsids>
    <w:rsidRoot w:val="00B47730"/>
    <w:rsid w:val="00034616"/>
    <w:rsid w:val="0006063C"/>
    <w:rsid w:val="0015074B"/>
    <w:rsid w:val="0029639D"/>
    <w:rsid w:val="00326F90"/>
    <w:rsid w:val="00935AD3"/>
    <w:rsid w:val="00AA1D8D"/>
    <w:rsid w:val="00B47730"/>
    <w:rsid w:val="00C50A95"/>
    <w:rsid w:val="00CB0664"/>
    <w:rsid w:val="00D6372E"/>
    <w:rsid w:val="00FC693F"/>
    <w:rsid w:val="54A124F6"/>
    <w:rsid w:val="6BB567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6DB9F5C"/>
  <w14:defaultImageDpi w14:val="300"/>
  <w15:docId w15:val="{7A5F12FB-5511-4AFB-A4C7-92B2739C5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qFormat="1"/>
    <w:lsdException w:name="Medium Grid 1" w:uiPriority="67"/>
    <w:lsdException w:name="Medium Grid 2" w:uiPriority="68"/>
    <w:lsdException w:name="Medium Grid 3" w:uiPriority="69" w:qFormat="1"/>
    <w:lsdException w:name="Dark List" w:uiPriority="70"/>
    <w:lsdException w:name="Colorful Shading" w:uiPriority="71"/>
    <w:lsdException w:name="Colorful List" w:uiPriority="72" w:qFormat="1"/>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qFormat="1"/>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qFormat="1"/>
    <w:lsdException w:name="Medium Shading 1 Accent 2" w:uiPriority="63"/>
    <w:lsdException w:name="Medium Shading 2 Accent 2" w:uiPriority="64"/>
    <w:lsdException w:name="Medium List 1 Accent 2" w:uiPriority="65" w:qFormat="1"/>
    <w:lsdException w:name="Medium List 2 Accent 2" w:uiPriority="66" w:qFormat="1"/>
    <w:lsdException w:name="Medium Grid 1 Accent 2" w:uiPriority="67"/>
    <w:lsdException w:name="Medium Grid 2 Accent 2" w:uiPriority="68" w:qFormat="1"/>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qFormat="1"/>
    <w:lsdException w:name="Medium List 1 Accent 3" w:uiPriority="65" w:qFormat="1"/>
    <w:lsdException w:name="Medium List 2 Accent 3" w:uiPriority="66"/>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qFormat="1"/>
    <w:lsdException w:name="Medium Grid 1 Accent 4" w:uiPriority="67"/>
    <w:lsdException w:name="Medium Grid 2 Accent 4" w:uiPriority="68" w:qFormat="1"/>
    <w:lsdException w:name="Medium Grid 3 Accent 4" w:uiPriority="69"/>
    <w:lsdException w:name="Dark List Accent 4" w:uiPriority="70" w:qFormat="1"/>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lsdException w:name="Light Grid Accent 6" w:uiPriority="62"/>
    <w:lsdException w:name="Medium Shading 1 Accent 6" w:uiPriority="63" w:qFormat="1"/>
    <w:lsdException w:name="Medium Shading 2 Accent 6" w:uiPriority="64"/>
    <w:lsdException w:name="Medium List 1 Accent 6" w:uiPriority="65"/>
    <w:lsdException w:name="Medium List 2 Accent 6" w:uiPriority="66" w:qFormat="1"/>
    <w:lsdException w:name="Medium Grid 1 Accent 6" w:uiPriority="67" w:qFormat="1"/>
    <w:lsdException w:name="Medium Grid 2 Accent 6" w:uiPriority="68"/>
    <w:lsdException w:name="Medium Grid 3 Accent 6" w:uiPriority="69" w:qFormat="1"/>
    <w:lsdException w:name="Dark List Accent 6" w:uiPriority="70" w:qFormat="1"/>
    <w:lsdException w:name="Colorful Shading Accent 6" w:uiPriority="71"/>
    <w:lsdException w:name="Colorful List Accent 6" w:uiPriority="72" w:qFormat="1"/>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909</Words>
  <Characters>5183</Characters>
  <Application>Microsoft Office Word</Application>
  <DocSecurity>0</DocSecurity>
  <Lines>43</Lines>
  <Paragraphs>12</Paragraphs>
  <ScaleCrop>false</ScaleCrop>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2022-07-13T07:52:00Z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D7E75B3BFA774FBB9704AD556A7663F5</vt:lpwstr>
  </property>
</Properties>
</file>