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D74C" w14:textId="77777777" w:rsidR="00D0280C" w:rsidRDefault="00000000">
      <w:pPr>
        <w:rPr>
          <w:lang w:eastAsia="zh-CN"/>
        </w:rPr>
      </w:pPr>
      <w:r>
        <w:rPr>
          <w:lang w:eastAsia="zh-CN"/>
        </w:rPr>
        <w:t>第四节董事会报告一、概述2014年，中国经济在经过三十多年高速增长的时期后，开始进入经济发展方式转变、发展动力转换的新形势、新时期，经济发展从高速增长转向中高速增长，经济发展方式从规模速度型粗放增长转向质量效率型集约增长，经济结构从增量扩能为主转向调整存量、做优增量并存的深度调整，经济发展动力从传统增长点转向新的增长点，即呈现出所谓的“新常态”。2014年度内，工业原材料价格持续走低，有色金属行业不改低迷的局面。在此形势下，公司管理层积极转变经营思路，通过整合并重新分配现有资源，量化指标，对外积极寻找高回报客户，对内严格制定高标准要求，巩固我公司在</w:t>
      </w:r>
      <w:r>
        <w:rPr>
          <w:highlight w:val="red"/>
          <w:lang w:eastAsia="zh-CN"/>
        </w:rPr>
        <w:t>微细漆包线</w:t>
      </w:r>
      <w:r>
        <w:rPr>
          <w:lang w:eastAsia="zh-CN"/>
        </w:rPr>
        <w:t>业务领域的竞争力。报告期内，公司实现合并营业收入989,537,365.06元，同比减少1.10%；利润总额3,730,030.01元，同比减少69.48%；归属于母公司所有者的净利润2,244,193.96元，同比减少73.54%。二、主营业务分析1、概述公司一直专注于</w:t>
      </w:r>
      <w:r>
        <w:rPr>
          <w:highlight w:val="red"/>
          <w:lang w:eastAsia="zh-CN"/>
        </w:rPr>
        <w:t>漆包线</w:t>
      </w:r>
      <w:r>
        <w:rPr>
          <w:lang w:eastAsia="zh-CN"/>
        </w:rPr>
        <w:t>及其相关产品的研发、生产和销售。报告期内，公司主营业务未发生变化。公司本报告期营业收入、成本、费用、研发投入及现金流等主要数据对比情况如下：公司回顾总结前期披露的发展战略和经营计划在报告期内的进展情况报告期内，公司经历了控股股东的变化、董事会的换届、经营班子的重组。对于新常态的整体大环境，公司新一届董事会围绕着“积极进取齐心协力确保漆包线业务稳定发展”的目标，采取了一系列应变措施，坚持精细化管理，量化指标，对外积极寻找高回报客户，对内严格制定高标准要求，努力实现公司各项业务的稳定、持续发展，扎实未来的业务基础。报告期内公司完成主要的工作体现在：1.把专业化、规模化的经营宗旨贯彻到全年规划中，秉承公司将“蓉胜”打造为国内微细漆包线第一品牌的主旨，保持开发、设计高品质、高性价比、有助提升客户产品价值的</w:t>
      </w:r>
      <w:r>
        <w:rPr>
          <w:highlight w:val="red"/>
          <w:lang w:eastAsia="zh-CN"/>
        </w:rPr>
        <w:t>微细漆包线</w:t>
      </w:r>
      <w:r>
        <w:rPr>
          <w:lang w:eastAsia="zh-CN"/>
        </w:rPr>
        <w:t>，以“为客户创造价值”的服务的理念为己任。2.保持公司原有的市场开发、客户维护制度的基础上，制定更针对的营销规划，积极扩展高回报客户群体；另外，报告期内产品直接出口业务发展迅猛，公司将持续推动已步入成熟期的国际业务架构的发展，推行国际化销售战略，完善公司全球化市场格局。3.公司在优化了整体产品结构的同时，也对</w:t>
      </w:r>
      <w:r>
        <w:rPr>
          <w:highlight w:val="red"/>
          <w:lang w:eastAsia="zh-CN"/>
        </w:rPr>
        <w:t>节能</w:t>
      </w:r>
      <w:r>
        <w:rPr>
          <w:lang w:eastAsia="zh-CN"/>
        </w:rPr>
        <w:t>、</w:t>
      </w:r>
      <w:r>
        <w:rPr>
          <w:highlight w:val="red"/>
          <w:lang w:eastAsia="zh-CN"/>
        </w:rPr>
        <w:t>环保</w:t>
      </w:r>
      <w:r>
        <w:rPr>
          <w:lang w:eastAsia="zh-CN"/>
        </w:rPr>
        <w:t>产品研发及其他科技资金进行了投入。公司在生产型新产品、前瞻性新产品以及特殊条件和要求下进行了相关的开发和研究工作，为公司</w:t>
      </w:r>
      <w:r>
        <w:rPr>
          <w:highlight w:val="red"/>
          <w:lang w:eastAsia="zh-CN"/>
        </w:rPr>
        <w:t>漆包线</w:t>
      </w:r>
      <w:r>
        <w:rPr>
          <w:lang w:eastAsia="zh-CN"/>
        </w:rPr>
        <w:t>的生产和销售提供了较好支撑。在我公司技术团队的支持下于2014年获得若干专利，也研发出了大量新产品。另外，公司高度重视安全环保工作，全年未发生重大安全生产事故，在包漆设备的节能、环保技术改造方面取得良好成绩。4.国家级高新技术企业重新认定工作取得了实质性进展。按照国家高新技术企业认定管理办法，高新技术企业证书有效期为三年，三年后复审，六年要重新认定。公司于2008年被认定为第一批高新技术企业，2011年通过复审，2014年经过各项指标体系考核，重新通过认定。根据国家政策，公司自本年度起三年内将继续享受15%的企业所得税优惠。5.加强内控体系建设，进一步规范了公司治理，对管理体系文件进行了系统的修订。6.发挥上市公司整合资源的优势，在相关中介机构的共同努力下，定增工作已取得阶段性成果。公司实际经营业绩较曾公开披露过的本年度盈利预测低于或高于20%以上的差异原因□适用√不适用2、收入说明报告期内，公司实现营业收入989,537,365.06元，同比上年减少1.10%。公司实物销售收入是否大于劳务收入√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w:t>
      </w:r>
      <w:r>
        <w:rPr>
          <w:lang w:eastAsia="zh-CN"/>
        </w:rPr>
        <w:lastRenderedPageBreak/>
        <w:t>产品分类单位：元说明无公司主要供应商情况公司前5名供应商资料√适用□不适用4、费用所得税费用比上年减少92.58%，主要原因是递延所得税资产与负债所发生的可抵扣亏损在本年度弥补，导致所得税费用减少。5、研发支出6、现金流单位：元相关数据同比发生变动30%以上的原因说明√适用□不适用（1）经营活动产生的现金流量净额比上年增加328.39%，主要是销售商品收到的现金增加和收到的税费返还增加以及购买商品及劳务支付的现金减少所致；（2）投资活动现金流入小计比上年减少89.98%，主要是本期收回投资收到的现金减少所致；（3）投资活动现金流出小计比上年增加136.92%，主要是本期购买固定资产支出的现金增加所致；（4）投资活动产生的现金流量净额比上年减少2,009.53%，主要是本期购买固定资产支出的现金增加所致；（5）筹资活动产生的现金流量净额比上年减少139.45%，主要是本期借款减少和分配股利增加所致；（6）现金及现金等价物净增加额比上年增加120.10%，综上述增减变动原因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单位：元报告期内公司主要资产计量属性是否发生重大变化□是√否五、核心竞争力分析1.规模优势：公司是目前国内本土企业中规模最大的</w:t>
      </w:r>
      <w:r>
        <w:rPr>
          <w:highlight w:val="red"/>
          <w:lang w:eastAsia="zh-CN"/>
        </w:rPr>
        <w:t>微细漆包线</w:t>
      </w:r>
      <w:r>
        <w:rPr>
          <w:lang w:eastAsia="zh-CN"/>
        </w:rPr>
        <w:t>专业生产企业，年产量超过万吨，规模不断扩大，与国际企业相比，具有较好的本地化地域优势。珠江三角洲和长江三角洲两个地区是国内</w:t>
      </w:r>
      <w:r>
        <w:rPr>
          <w:highlight w:val="red"/>
          <w:lang w:eastAsia="zh-CN"/>
        </w:rPr>
        <w:t>微细漆包线</w:t>
      </w:r>
      <w:r>
        <w:rPr>
          <w:lang w:eastAsia="zh-CN"/>
        </w:rPr>
        <w:t>的主要需求市场，并已成为世界主要电子产品生产基地之一。本公司在这两块市场均投入资源深入开发，并具有较高知名度和产品竞争力，较国际企业具备更为快速的反应能力，可根据市场情况及时调整策略，有助于公司更加积极地应对市场变化。2.技术优势：公司作为“国家高新技术企业”，在</w:t>
      </w:r>
      <w:r>
        <w:rPr>
          <w:highlight w:val="red"/>
          <w:lang w:eastAsia="zh-CN"/>
        </w:rPr>
        <w:t>微细漆包线</w:t>
      </w:r>
      <w:r>
        <w:rPr>
          <w:lang w:eastAsia="zh-CN"/>
        </w:rPr>
        <w:t>研发和生产方面的技术处于国内同行业中的领先地位，推动并直接参与了中国</w:t>
      </w:r>
      <w:r>
        <w:rPr>
          <w:highlight w:val="red"/>
          <w:lang w:eastAsia="zh-CN"/>
        </w:rPr>
        <w:t>微细漆包线</w:t>
      </w:r>
      <w:r>
        <w:rPr>
          <w:lang w:eastAsia="zh-CN"/>
        </w:rPr>
        <w:t>技术标准的制定。公司开发的多项产品先后获得广东省、珠海市颁发的多种科技荣誉；公司拥有13项专利，其中发明专利4项，实用新型专利9项；公司自主开发的“微细高性能</w:t>
      </w:r>
      <w:r>
        <w:rPr>
          <w:highlight w:val="red"/>
          <w:lang w:eastAsia="zh-CN"/>
        </w:rPr>
        <w:t>漆包铜圆线</w:t>
      </w:r>
      <w:r>
        <w:rPr>
          <w:lang w:eastAsia="zh-CN"/>
        </w:rPr>
        <w:t>”打破了欧美及日本企业在该领域的垄断状态。</w:t>
      </w:r>
      <w:r>
        <w:rPr>
          <w:highlight w:val="red"/>
          <w:lang w:eastAsia="zh-CN"/>
        </w:rPr>
        <w:t>漆包线</w:t>
      </w:r>
      <w:r>
        <w:rPr>
          <w:lang w:eastAsia="zh-CN"/>
        </w:rPr>
        <w:t>是一个集先进生产设备、优质原材料、高超生产工艺、精细制造过程控制的严谨制造、广泛应用、安全性能要求严苛的产品。为此，公司非常重视技术人才培养。从装备的研发、技改、制造，新材料的开发、调试，到生产的全过程控制，检测环境及检测方法优化等，已拥有了一个经验丰富，积极进取的的专业团队，足以保证大批量生产的质量稳定性。3.产品质量优势：公司通过大量的客户使用分析和理论研究，在对设备进行适应性改良、生产工艺不断优化的基础上，使产品在稳定性、光洁度、柔软性和一致性等多方面达到了国内同行领先水平，适应了下游高端客户的要求，提高了下游客户生产效率和产品性能的稳定性；在产品品质检测方面，公司检测中心已通过“国家实验室认可”。在产品制造过程中，公司自主开发了“</w:t>
      </w:r>
      <w:r>
        <w:rPr>
          <w:highlight w:val="red"/>
          <w:lang w:eastAsia="zh-CN"/>
        </w:rPr>
        <w:t>产品在线监控系统</w:t>
      </w:r>
      <w:r>
        <w:rPr>
          <w:lang w:eastAsia="zh-CN"/>
        </w:rPr>
        <w:t>”软件，全方位监测产品的制造过程，以保证产品质量的一致性和可追溯性。公司还通过配备</w:t>
      </w:r>
      <w:r>
        <w:rPr>
          <w:highlight w:val="red"/>
          <w:lang w:eastAsia="zh-CN"/>
        </w:rPr>
        <w:t>激光测径仪</w:t>
      </w:r>
      <w:r>
        <w:rPr>
          <w:lang w:eastAsia="zh-CN"/>
        </w:rPr>
        <w:t>，</w:t>
      </w:r>
      <w:r>
        <w:rPr>
          <w:highlight w:val="red"/>
          <w:lang w:eastAsia="zh-CN"/>
        </w:rPr>
        <w:t>光铜丝报警器</w:t>
      </w:r>
      <w:r>
        <w:rPr>
          <w:lang w:eastAsia="zh-CN"/>
        </w:rPr>
        <w:t>等进行自动在线检测，同时配备具有国际先进水平的介质</w:t>
      </w:r>
      <w:r>
        <w:rPr>
          <w:highlight w:val="red"/>
          <w:lang w:eastAsia="zh-CN"/>
        </w:rPr>
        <w:t>损耗测试仪</w:t>
      </w:r>
      <w:r>
        <w:rPr>
          <w:lang w:eastAsia="zh-CN"/>
        </w:rPr>
        <w:t>、</w:t>
      </w:r>
      <w:r>
        <w:rPr>
          <w:highlight w:val="red"/>
          <w:lang w:eastAsia="zh-CN"/>
        </w:rPr>
        <w:t>电子万能拉力试验机</w:t>
      </w:r>
      <w:r>
        <w:rPr>
          <w:lang w:eastAsia="zh-CN"/>
        </w:rPr>
        <w:t>、</w:t>
      </w:r>
      <w:r>
        <w:rPr>
          <w:highlight w:val="red"/>
          <w:lang w:eastAsia="zh-CN"/>
        </w:rPr>
        <w:t>自粘线圈绕线试验机</w:t>
      </w:r>
      <w:r>
        <w:rPr>
          <w:lang w:eastAsia="zh-CN"/>
        </w:rPr>
        <w:t>等检测仪器和加工设备，建立了较先进的产品性能检测体系，具备了对极限制造</w:t>
      </w:r>
      <w:r>
        <w:rPr>
          <w:highlight w:val="red"/>
          <w:lang w:eastAsia="zh-CN"/>
        </w:rPr>
        <w:t>微细漆包线</w:t>
      </w:r>
      <w:r>
        <w:rPr>
          <w:lang w:eastAsia="zh-CN"/>
        </w:rPr>
        <w:t>的高精度测试、产品性能的定量定性分析能力，同时，公司不断强化质量管理，运用最先进的</w:t>
      </w:r>
      <w:r>
        <w:rPr>
          <w:lang w:eastAsia="zh-CN"/>
        </w:rPr>
        <w:lastRenderedPageBreak/>
        <w:t>ISO/TS16949质量管理体系进行全面质量管理，保证生产过程品质稳定，提升产品质量。六、投资状况分析1、对外股权投资情况（1）对外投资情况□适用√不适用公司报告期无对外投资。（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公司报告期不存在委托理财。（2）衍生品投资情况√适用□不适用单位：万元）（3）委托贷款情况□适用√不适用公司报告期不存在委托贷款。3、募集资金使用情况□适用√不适用公司报告期无募集资金使用情况。4、主要子公司、参股公司分析√适用□不适用主要子公司、参股公司情况单位：元主要子公司、参股公司情况说明报告期内取得和处置子公司的情况□适用√不适用5、非募集资金投资的重大项目情况□适用√不适用七、公司控制的特殊目的主体情况□适用√不适用八、公司未来发展的展望1.公司</w:t>
      </w:r>
      <w:r>
        <w:rPr>
          <w:highlight w:val="red"/>
          <w:lang w:eastAsia="zh-CN"/>
        </w:rPr>
        <w:t>微细漆包线</w:t>
      </w:r>
      <w:r>
        <w:rPr>
          <w:lang w:eastAsia="zh-CN"/>
        </w:rPr>
        <w:t>业务的经营目标展望本公司的主导产品</w:t>
      </w:r>
      <w:r>
        <w:rPr>
          <w:highlight w:val="red"/>
          <w:lang w:eastAsia="zh-CN"/>
        </w:rPr>
        <w:t>微细漆包线</w:t>
      </w:r>
      <w:r>
        <w:rPr>
          <w:lang w:eastAsia="zh-CN"/>
        </w:rPr>
        <w:t>是广泛应用于</w:t>
      </w:r>
      <w:r>
        <w:rPr>
          <w:highlight w:val="red"/>
          <w:lang w:eastAsia="zh-CN"/>
        </w:rPr>
        <w:t>微特电机</w:t>
      </w:r>
      <w:r>
        <w:rPr>
          <w:lang w:eastAsia="zh-CN"/>
        </w:rPr>
        <w:t>、</w:t>
      </w:r>
      <w:r>
        <w:rPr>
          <w:highlight w:val="red"/>
          <w:lang w:eastAsia="zh-CN"/>
        </w:rPr>
        <w:t>电子变压器</w:t>
      </w:r>
      <w:r>
        <w:rPr>
          <w:lang w:eastAsia="zh-CN"/>
        </w:rPr>
        <w:t>、</w:t>
      </w:r>
      <w:r>
        <w:rPr>
          <w:highlight w:val="red"/>
          <w:lang w:eastAsia="zh-CN"/>
        </w:rPr>
        <w:t>家电</w:t>
      </w:r>
      <w:r>
        <w:rPr>
          <w:lang w:eastAsia="zh-CN"/>
        </w:rPr>
        <w:t>、通讯、电子信息、仪器仪表、电动工具、汽车等电子元器件行业和电子信息产品的配套基</w:t>
      </w:r>
      <w:r w:rsidRPr="000E6F46">
        <w:rPr>
          <w:lang w:eastAsia="zh-CN"/>
        </w:rPr>
        <w:t>础原材料，随</w:t>
      </w:r>
      <w:r>
        <w:rPr>
          <w:lang w:eastAsia="zh-CN"/>
        </w:rPr>
        <w:t>着电子器件向“轻、小、薄”发展，以及自动化、智能化程度的提高，均对包括</w:t>
      </w:r>
      <w:r>
        <w:rPr>
          <w:highlight w:val="red"/>
          <w:lang w:eastAsia="zh-CN"/>
        </w:rPr>
        <w:t>微细漆包线</w:t>
      </w:r>
      <w:r>
        <w:rPr>
          <w:lang w:eastAsia="zh-CN"/>
        </w:rPr>
        <w:t>在内的高性能化、高可靠性原材料提出较高要求，这些材料已成为改进电子元器件性能、促进电子行业发展必不可少的基础原材料，</w:t>
      </w:r>
      <w:r>
        <w:rPr>
          <w:highlight w:val="red"/>
          <w:lang w:eastAsia="zh-CN"/>
        </w:rPr>
        <w:t>微细漆包线</w:t>
      </w:r>
      <w:r>
        <w:rPr>
          <w:lang w:eastAsia="zh-CN"/>
        </w:rPr>
        <w:t>产品的应用广泛，市场需求空间巨大。2015年，国内制造业面临着我国经济发展新常态下经济发展速度增长减缓的市场压力，加上市场铜价波动之不可控性因素的影响，使得公司经营的外部环境变得更为严峻。此外，除了传统的资金、人力、土地、运输成本上升的因素，国家对节能、环保减排等标准的提高也是一个影响因素，公司在环保、技改和节能减排等方面的投入明显增加。新形势迫使公司要努力克服各方面的不利影响，保持现有业务的稳步发展。为此，公司确定了与国家政策接轨的“主动适应新常态，稳中求进”的2015年度工作的主基调，2015年度经营工作的重点是：（1）保持在提升产品品质上的投入，稳固公司的核心竞争优势，保持公司产品在国内高端产品中的领先地位，提升“蓉胜”品牌在高科技、高附加值市场的占有率。（2）重点关注铜价波动，加强原材料采购管理。严格控制成品库存量，提高存货周转率，以提高公司经营效率。（3）高度重视科技进步，进一步提升蓉胜在</w:t>
      </w:r>
      <w:r>
        <w:rPr>
          <w:highlight w:val="red"/>
          <w:lang w:eastAsia="zh-CN"/>
        </w:rPr>
        <w:t>微细漆包线</w:t>
      </w:r>
      <w:r>
        <w:rPr>
          <w:lang w:eastAsia="zh-CN"/>
        </w:rPr>
        <w:t>行业的地位和话语权。公司在科技创新加大投入，优化公司产品结构，争取产品的盈利水平达到行业领先；同时，将公司的最新技术打入国际市场的核心地位。（4）继续重视在设备</w:t>
      </w:r>
      <w:r>
        <w:rPr>
          <w:highlight w:val="red"/>
          <w:lang w:eastAsia="zh-CN"/>
        </w:rPr>
        <w:t>节能降耗</w:t>
      </w:r>
      <w:r>
        <w:rPr>
          <w:lang w:eastAsia="zh-CN"/>
        </w:rPr>
        <w:t>、</w:t>
      </w:r>
      <w:r>
        <w:rPr>
          <w:highlight w:val="red"/>
          <w:lang w:eastAsia="zh-CN"/>
        </w:rPr>
        <w:t>环保排放</w:t>
      </w:r>
      <w:r>
        <w:rPr>
          <w:lang w:eastAsia="zh-CN"/>
        </w:rPr>
        <w:t>等方面的技术研发，以适应公司产业升级和经营方式转变的步伐。（5）加大对海外市场业务拓展的投入，扩大优化产品的出口量，稳固欧洲、北美、东南亚、印度等新兴经济体国家的市场销售力度，把高品质、高科技、高回报产品作为主打产品推向国际化市场。（6）针对2015年的特殊形势，大力推进信息化手段的全面应用。充分应用信息化管理，加大过程监控，促进管理效率的全面提升。进一步优化公司内控体系，确保各项业务科学、规范运作，将各种风险控制在可控范围之内。（7）重点关注成本过程，做到随时监控。以此为手段在每一个环节和阶段的耗费都进行有效地控制，将整个财务管理、成本流程精细化、透明化。（8）进一步调动员工积极性，保证人才的引进、发现、培养、任用和储备。把“我爱我家，公司是我家”的理念发扬光大。（9）建立和健全内控制度，规范公司运作，发挥上市公司整合资源的优势，推动公司定向增发工作的继续深</w:t>
      </w:r>
      <w:r>
        <w:rPr>
          <w:lang w:eastAsia="zh-CN"/>
        </w:rPr>
        <w:lastRenderedPageBreak/>
        <w:t>入。2.公司经营目标达成所面临的风险（1）宏观经济政策及经济增长放缓的影响2014年以来，国家从经济迈入了经济增长转向中高速，提升缓慢的全面新常态：一方面来说，宏观经济运行平稳，经济增长和就业均缓慢增长，物价增长稍弱；另一方面，下行与上行因素并存，持续疲软的市场是经济向新常态转换的必要过程，也是优化调整结构的必要动力。在经济下行压力增大的情况下，国内制造业企业转型困难，原有优势正在逐步减弱。为适应新形势，公司2015年将重点抓好以下两方面的工作：首先，通过信息化手段改进公司管理、运营结构，在保证质量的前提下，把低效产能改进成高效产能；其次，在现有客户的基础上大力发展新客户，包括内销及外销，把公司打造成适应国际化市场的新型企业。（2）原材料价格波动的风险铜材是公司产品的主要原材料，在产品成本中占比例较大，铜材价格波动将对公司产品的价格、成本、毛利以及资金占用均产生影响。近年来铜材价格持续下滑，且波动较大，2015年的铜价波动的风险依然存在，对公司的经营状况和经营成果造成直接冲击。若铜价上涨，将会加大公司在原材料采购和营运资金占用方面的压力，并会导致公司财务费用的上升；若铜价下跌，将影响存货的账面价值，并直接影响公司的盈利水平。针对上述风险，公司将密切关注市场和政策变化，通过科学、合理调配采购和库存，利用铜期货套期保值工具，尽可能地实现采购与销售的铜价匹配，锁定加工利润，加快库存资金周转、降低呆滞库存积压。（3）人民币汇率波动导致的汇兑损益风险在新常态下，出口增长对经济增长的贡献显着下降。2014年以来，人民币汇率走向的双边波动让公司产品在出口在报价的难度加大，结汇风险提高。随着公司产品直接出口比例的上升和海外市场销售的增加，公司发生汇兑损益的风险加大，也会影响到公司的业绩水平。因此，管理人民币汇率风险，保障企业正常的经营利润，将是公司长期面临的挑战。为此，公司在日常经营过程中将密切关注汇率的变化、合理安排国内外采购、适当配置外汇资产及负债，以及远期结售汇的运用等手段对冲汇率差，降低经营风险。另外适时减少低回报商品的出口，达到主动管理汇率波动，减轻汇兑损益对公司业绩影响的目的。九、董事会、监事会对会计师事务所本报告期“非标准审计报告”的说明□适用√不适用十、与上年度财务报告相比，会计政策、会计估计和核算方法发生变化的情况说明√适用□不适用1.会计政策变更的内容和原因本公司自2014年7月1日起执行财政部于2014年制定的《企业会计准则第39号——公允价值计量》、《企业会计准则第40号——合营安排》、《企业会计准则第41号——在其他主体中权益的披露》，和经修订的《企业会计准则第2号——长期股权投资》、《企业会计准则第9号——职工薪酬》、《企业会计准则第30号——财务报表列报》、《企业会计准则第33号——合并财务报表》，同时在本财务报表中采用财政部于2014年修订的《企业会计准则第37号——金融工具栏报》。2.受重要影响的报表项目和金额十一、报告期内发生重大会计差错更正需追溯重述的情况说明□适用√不适用公司报告期无重大会计差错更正需追溯重述的情况。十二、与上年度财务报告相比，合并报表范围发生变化的情况说明□适用√不适用公司报告期无合并报表范围发生变化的情况。十三、公司利润分配及分红派息情况报告期内利润分配政策的制定、执行或调整情况√适用□不适用2014年，根据国务院办公厅于2013年12月25日印发了《关于进一步加强资本市场中小投资者合法权益保护工作的意见》（国办发[2013]110号）及广东证监局《关于深入学习贯彻〈关于进一步加强资本市场中小投资者合法权益保护工作的意见〉的通知》（广东证监[2014]3号）的要求及中国证监会《上市公司监管指引第3号——上</w:t>
      </w:r>
      <w:r>
        <w:rPr>
          <w:lang w:eastAsia="zh-CN"/>
        </w:rPr>
        <w:lastRenderedPageBreak/>
        <w:t>市公司现金分红》的相关规定，公司对《公司章程》中现金分红的相关政策进行修订，进一步完善公司利润分配制度，对利润分配的形式及优先顺序、公司现金分红的比例、公司发放股票股利的条件、利润分配政策的制定和修改程序、利润分配具体方案决策程序与机制、利润分配的监督约束机制做出了进一步的制度性安排，特别是差异化的现金分红政策能够更好地实现对投资者的合理回报且兼顾公司可持续性发展，能更好的维护中小投资者的利益；上述修订已经公司第四届董事会第十七次会议及2013年度股东大会审议通过。公司近3年（含报告期）的利润分配预案或方案及资本公积金转增股本预案或方案情况2012年度：不进行利润分配及资本公积金转增股本；2013年度：公司以2013年12月31日公司总股本181,888,000股为基数，用未分配利润向全体股东每10股派发现金红利1.0元（含税），共计派发现金股利18,188,800元，剩余未分配利润24,555,255.32元结转下年度分配。公司2013年度不以资本公积转增股本、不送红股；2014年度：不进行利润分配及资本公积金转增股本。公司近三年现金分红情况表单位：元公司报告期内盈利且母公司未分配利润为正但未提出现金红利分配预案√适用□不适用的复函》（财会函[2000]7号）等有关规定，上市公司制订分红方案，应以合并报表、母公司报表中可供分配利润孰低的原则来确定具体的利润分配比例。由于公司本年度合并报表净利润为正值，而母公司净利润为负值，按孰低的原则，公司本年度不进行利润分配。公司2014年度合并报表实现的利润，将用于公司生产经营，以保证公司可持续、平稳发展。本利润分配预案符合中国证监会有关文件及《公司章程》的规定，符合公司长远发展的需要，有利于维护公司全体股东的利益。十四、本报告期利润分配及资本公积金转增股本预案□适用√不适用公司计划年度不派发现金红利，不送红股，不以公积金转增股本。十五、社会责任情况□适用√不适用十六、报告期内接待调研、沟通、采访等活动登记表□适用√不适用公司报告期内未发生接待调研、沟通、采访等活动。</w:t>
      </w:r>
    </w:p>
    <w:p w14:paraId="4E9D7BAA" w14:textId="77777777" w:rsidR="00D0280C" w:rsidRDefault="00000000">
      <w:pPr>
        <w:rPr>
          <w:lang w:eastAsia="zh-CN"/>
        </w:rPr>
      </w:pPr>
      <w:r>
        <w:rPr>
          <w:rFonts w:hint="eastAsia"/>
          <w:lang w:eastAsia="zh-CN"/>
        </w:rPr>
        <w:t>标签数量：30</w:t>
      </w:r>
    </w:p>
    <w:sectPr w:rsidR="00D028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704D" w14:textId="77777777" w:rsidR="00561BC2" w:rsidRDefault="00561BC2">
      <w:pPr>
        <w:spacing w:line="240" w:lineRule="auto"/>
      </w:pPr>
      <w:r>
        <w:separator/>
      </w:r>
    </w:p>
  </w:endnote>
  <w:endnote w:type="continuationSeparator" w:id="0">
    <w:p w14:paraId="236A3C4B" w14:textId="77777777" w:rsidR="00561BC2" w:rsidRDefault="00561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A6D2" w14:textId="77777777" w:rsidR="00561BC2" w:rsidRDefault="00561BC2">
      <w:pPr>
        <w:spacing w:after="0"/>
      </w:pPr>
      <w:r>
        <w:separator/>
      </w:r>
    </w:p>
  </w:footnote>
  <w:footnote w:type="continuationSeparator" w:id="0">
    <w:p w14:paraId="07F9D934" w14:textId="77777777" w:rsidR="00561BC2" w:rsidRDefault="00561B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24615589">
    <w:abstractNumId w:val="1"/>
  </w:num>
  <w:num w:numId="2" w16cid:durableId="688986571">
    <w:abstractNumId w:val="4"/>
  </w:num>
  <w:num w:numId="3" w16cid:durableId="434600677">
    <w:abstractNumId w:val="5"/>
  </w:num>
  <w:num w:numId="4" w16cid:durableId="2116367275">
    <w:abstractNumId w:val="2"/>
  </w:num>
  <w:num w:numId="5" w16cid:durableId="1659530370">
    <w:abstractNumId w:val="0"/>
  </w:num>
  <w:num w:numId="6" w16cid:durableId="176711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0E6F46"/>
    <w:rsid w:val="0015074B"/>
    <w:rsid w:val="0029639D"/>
    <w:rsid w:val="00326F90"/>
    <w:rsid w:val="00561BC2"/>
    <w:rsid w:val="00AA1D8D"/>
    <w:rsid w:val="00B47730"/>
    <w:rsid w:val="00CB0664"/>
    <w:rsid w:val="00D0280C"/>
    <w:rsid w:val="00FC693F"/>
    <w:rsid w:val="71845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0ED98"/>
  <w14:defaultImageDpi w14:val="300"/>
  <w15:docId w15:val="{BB99BB9F-8818-4102-9421-8AF222DC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27779383F0C746A993D392BA802287A3</vt:lpwstr>
  </property>
</Properties>
</file>