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DFE9" w14:textId="77777777" w:rsidR="0094727D" w:rsidRDefault="00000000">
      <w:pPr>
        <w:rPr>
          <w:lang w:eastAsia="zh-CN"/>
        </w:rPr>
      </w:pPr>
      <w:r>
        <w:rPr>
          <w:lang w:eastAsia="zh-CN"/>
        </w:rPr>
        <w:t>第四节经营情况讨论与分析一、概述报告期内，公司营业总收入3,083,401,179.95元，较上年同期上升3.40%；归属母公司所有者净利润-458,994,227.81元，较上年同期下降7.95%。1、</w:t>
      </w:r>
      <w:r>
        <w:rPr>
          <w:highlight w:val="red"/>
          <w:lang w:eastAsia="zh-CN"/>
        </w:rPr>
        <w:t>健康医疗</w:t>
      </w:r>
      <w:r>
        <w:rPr>
          <w:lang w:eastAsia="zh-CN"/>
        </w:rPr>
        <w:t>业务a、医疗服务业务公司的医疗服务业务已形成</w:t>
      </w:r>
      <w:r>
        <w:rPr>
          <w:highlight w:val="red"/>
          <w:lang w:eastAsia="zh-CN"/>
        </w:rPr>
        <w:t>医</w:t>
      </w:r>
      <w:r>
        <w:rPr>
          <w:lang w:eastAsia="zh-CN"/>
        </w:rPr>
        <w:t>、</w:t>
      </w:r>
      <w:r>
        <w:rPr>
          <w:highlight w:val="red"/>
          <w:lang w:eastAsia="zh-CN"/>
        </w:rPr>
        <w:t>康</w:t>
      </w:r>
      <w:r>
        <w:rPr>
          <w:lang w:eastAsia="zh-CN"/>
        </w:rPr>
        <w:t>、</w:t>
      </w:r>
      <w:r>
        <w:rPr>
          <w:highlight w:val="red"/>
          <w:lang w:eastAsia="zh-CN"/>
        </w:rPr>
        <w:t>养</w:t>
      </w:r>
      <w:r>
        <w:rPr>
          <w:lang w:eastAsia="zh-CN"/>
        </w:rPr>
        <w:t>、</w:t>
      </w:r>
      <w:r>
        <w:rPr>
          <w:highlight w:val="red"/>
          <w:lang w:eastAsia="zh-CN"/>
        </w:rPr>
        <w:t>护</w:t>
      </w:r>
      <w:r>
        <w:rPr>
          <w:lang w:eastAsia="zh-CN"/>
        </w:rPr>
        <w:t>联动发展模式，形成以澳洋医院总院为支撑，澳洋医院三兴分院、顺康医院、港城康复医院、优居壹佰护理院、张家港澳洋护理院联动发展。公司医疗服务业务立足基本医疗、兼具专科特色，总床位已超2300张。公司募投项目澳洋医院三期的投入进一步提升了澳洋医院整体医疗服务水平，其配置的现代化智能营运设备及高科技医疗诊疗器械为广大人民群众提供了更高品质的就医体验。澳洋医院加强肿瘤学科建设，在本市打造一个优质的肿瘤学术、科研平台，吸引国内、国际上知名的肿瘤科研专家。力推澳洋医院肿瘤诊疗技术的快速发展，还将为临床研究提供分子水平的建议和参考，并将临床诊断学的教学工作纳入澳洋医院的教学体系中，最终目标是建成国内一流、与国际接轨的</w:t>
      </w:r>
      <w:r>
        <w:rPr>
          <w:highlight w:val="red"/>
          <w:lang w:eastAsia="zh-CN"/>
        </w:rPr>
        <w:t>医</w:t>
      </w:r>
      <w:r>
        <w:rPr>
          <w:lang w:eastAsia="zh-CN"/>
        </w:rPr>
        <w:t>、</w:t>
      </w:r>
      <w:r>
        <w:rPr>
          <w:highlight w:val="red"/>
          <w:lang w:eastAsia="zh-CN"/>
        </w:rPr>
        <w:t>教</w:t>
      </w:r>
      <w:r>
        <w:rPr>
          <w:lang w:eastAsia="zh-CN"/>
        </w:rPr>
        <w:t>、</w:t>
      </w:r>
      <w:r>
        <w:rPr>
          <w:highlight w:val="red"/>
          <w:lang w:eastAsia="zh-CN"/>
        </w:rPr>
        <w:t>研</w:t>
      </w:r>
      <w:r>
        <w:rPr>
          <w:lang w:eastAsia="zh-CN"/>
        </w:rPr>
        <w:t>结合的高水平研究院；澳洋医院2020年12月被评为三级综合医院，同年通过JCI复评，助力于提升上市公司在大健康领域的知名度，树立了良好的企业形象，对公司的经营发展起到了积极影响。公司募投项目张家港港城康复医院满足和提升了本市康复人群的康复医疗、功能训练的质量和水平。在政府政策方面，“十四五”规划下，大健康产业面临更大的机遇，我国医疗服务需求仍有较大增长空间，医疗服务产业将继续以较快速度发展，有利于公司医疗服务业务保持持续稳定的盈利能力。b、医药流通业务江苏澳洋医药物流有限公司为公司下属现代医药流通企业，为华东地区大型单体医药物流企业，是国家AAAA级物流企业。GSP标准的仓储总面积32000平方米。通过B2B模式，向下游客户</w:t>
      </w:r>
      <w:r>
        <w:rPr>
          <w:highlight w:val="red"/>
          <w:lang w:eastAsia="zh-CN"/>
        </w:rPr>
        <w:t>配送药品</w:t>
      </w:r>
      <w:r>
        <w:rPr>
          <w:lang w:eastAsia="zh-CN"/>
        </w:rPr>
        <w:t>、</w:t>
      </w:r>
      <w:r>
        <w:rPr>
          <w:highlight w:val="red"/>
          <w:lang w:eastAsia="zh-CN"/>
        </w:rPr>
        <w:t>器械</w:t>
      </w:r>
      <w:r>
        <w:rPr>
          <w:lang w:eastAsia="zh-CN"/>
        </w:rPr>
        <w:t>等。医药流通业务主要受</w:t>
      </w:r>
      <w:r>
        <w:rPr>
          <w:highlight w:val="red"/>
          <w:lang w:eastAsia="zh-CN"/>
        </w:rPr>
        <w:t>药品采购</w:t>
      </w:r>
      <w:r>
        <w:rPr>
          <w:lang w:eastAsia="zh-CN"/>
        </w:rPr>
        <w:t>价格、</w:t>
      </w:r>
      <w:r>
        <w:rPr>
          <w:highlight w:val="red"/>
          <w:lang w:eastAsia="zh-CN"/>
        </w:rPr>
        <w:t>物流运营</w:t>
      </w:r>
      <w:r>
        <w:rPr>
          <w:lang w:eastAsia="zh-CN"/>
        </w:rPr>
        <w:t>成本及下游需求等因素影响。澳洋医药目前是华东地区规模较大的现代化物流企业，目前已形成以苏南为核心，以江苏省为主体，以上海、浙江、安徽为辐射的销售市场网络，累计下游客户8000余家。报告期内，江苏澳洋医药物流有限公司进一步</w:t>
      </w:r>
      <w:r w:rsidRPr="00DE6FAB">
        <w:rPr>
          <w:lang w:eastAsia="zh-CN"/>
        </w:rPr>
        <w:t>提升物流设备、流程的现代化、智能化与信息化，提升物流服务质量与效率。新的物流中心将能够满足</w:t>
      </w:r>
      <w:r>
        <w:rPr>
          <w:lang w:eastAsia="zh-CN"/>
        </w:rPr>
        <w:t>医药物流未来发展的需要，满足每年约20到25个亿的仓储物流服务需要。在设计理念、作业效率、投入产出、人员用工、分拣速度、配送品类等方面，在华东地区具有较强竞争力。2、化学纤维业务公司目前的化学纤维业务主要为</w:t>
      </w:r>
      <w:r>
        <w:rPr>
          <w:highlight w:val="red"/>
          <w:lang w:eastAsia="zh-CN"/>
        </w:rPr>
        <w:t>粘胶短纤</w:t>
      </w:r>
      <w:r>
        <w:rPr>
          <w:lang w:eastAsia="zh-CN"/>
        </w:rPr>
        <w:t>的生产销售，最终销售产品为</w:t>
      </w:r>
      <w:r>
        <w:rPr>
          <w:highlight w:val="red"/>
          <w:lang w:eastAsia="zh-CN"/>
        </w:rPr>
        <w:t>粘胶短纤</w:t>
      </w:r>
      <w:r>
        <w:rPr>
          <w:lang w:eastAsia="zh-CN"/>
        </w:rPr>
        <w:t>及其差变化品种，属于</w:t>
      </w:r>
      <w:r>
        <w:rPr>
          <w:highlight w:val="red"/>
          <w:lang w:eastAsia="zh-CN"/>
        </w:rPr>
        <w:t>纺织原料</w:t>
      </w:r>
      <w:r>
        <w:rPr>
          <w:lang w:eastAsia="zh-CN"/>
        </w:rPr>
        <w:t>。</w:t>
      </w:r>
      <w:r>
        <w:rPr>
          <w:highlight w:val="red"/>
          <w:lang w:eastAsia="zh-CN"/>
        </w:rPr>
        <w:t>粘胶短纤</w:t>
      </w:r>
      <w:r>
        <w:rPr>
          <w:lang w:eastAsia="zh-CN"/>
        </w:rPr>
        <w:t>销售客户为下</w:t>
      </w:r>
      <w:r>
        <w:rPr>
          <w:highlight w:val="red"/>
          <w:lang w:eastAsia="zh-CN"/>
        </w:rPr>
        <w:t>游纱线</w:t>
      </w:r>
      <w:r>
        <w:rPr>
          <w:lang w:eastAsia="zh-CN"/>
        </w:rPr>
        <w:t>企业，其主要受原材料及市场供需关系影响。报告期内，</w:t>
      </w:r>
      <w:r>
        <w:rPr>
          <w:highlight w:val="red"/>
          <w:lang w:eastAsia="zh-CN"/>
        </w:rPr>
        <w:t>粘胶短纤</w:t>
      </w:r>
      <w:r>
        <w:rPr>
          <w:lang w:eastAsia="zh-CN"/>
        </w:rPr>
        <w:t>市场需求较去年同期波动较大，前三季度市场价格在低位徘徊，第四季度有所回暖，但全年均价仍处于低位。二、主营业务分析1、概述参见“经营情况讨论与分析”中的“一、概述”相关内容。2、收入与成本（1）营业收入构成单位：元2020年2019年同比增减金额占营业收入比重金额占营业收入比重营业收入合计3,083,401,179.95100%2,982,034,952.03100%3.40%分行业化学纤维1,214,396,902.2339.38%1,184,847,087.9939.73%2.49%医药物流1,011,318,762.3632.80%949,349,064.5731.84%6.53%医疗服务857,685,515.3627.82%847,838,799.4728.43%1.16%分产品化学纤维1,214,396,902.2339.38%1,184,847,087.9939.73%2.49%医药物流1,011,318,762.3632.80%949,349,064.5731.84%6.53%医疗服务857,685,515.3627.82%847,838,799.4728.43%1.16%分地区国内地区</w:t>
      </w:r>
      <w:r>
        <w:rPr>
          <w:lang w:eastAsia="zh-CN"/>
        </w:rPr>
        <w:lastRenderedPageBreak/>
        <w:t>3,062,180,094.9199.31%2,935,696,406.9798.45%4.31%国外地区21,221,085.040.69%46,338,545.061.55%-54.20%（2）占公司营业收入或营业利润10%以上的行业、产品或地区情况√适用□不适用单位：元营业收入营业成本毛利率营业收入比上年同期增减营业成本比上年同期增减毛利率比上年同期增减分行业化学纤维1,214,396,902.231,424,321,918.72-17.29%2.49%14.78%-12.56%医药物流1,011,318,762.36954,193,495.115.65%6.53%9.37%-2.45%医疗服务857,685,515.36689,432,171.1019.62%1.16%3.01%-1.44%分产品化学纤维1,214,396,902.231,424,321,918.72-17.29%2.49%14.78%-12.56%医药物流1,011,318,762.36954,193,495.115.65%6.53%9.37%-2.45%医疗服务857,685,515.36689,432,171.1019.62%1.16%3.01%-1.44%分地区国内地区3,062,180,094.913,042,970,652.070.63%4.31%10.83%-5.85%国外地区21,221,085.0424,976,932.86-17.70%-54.20%-32.54%-37.80%公司主营业务数据统计口径在报告期发生调整的情况下，公司最近1年按报告期末口径调整后的主营业务数据□适用√不适用（3）公司实物销售收入是否大于劳务收入√是□否行业分类项目单位2020年2019年同比增减化学纤维销售量吨142,434.71153,815.18-7.40%生产量吨133,964.83135,692.51-1.27%库存量吨5,359.4812,849.07-58.29%相关数据同比发生变动30%以上的原因说明√适用□不适用库存量较上年同期减少58.29%，主要原因系报告期末行情转好，订单量增加。（4）公司已签订的重大销售合同截至本报告期的履行情况□适用√不适用（5）营业成本构成行业分类行业分类单位：元行业分类项目2020年2019年同比增减金额占营业成本比重金额占营业成本比重化学纤维原材料688,291,512.2322.59%756,557,697.8427.19%-4.60%化学纤维加工成本648,648,013.2421.28%388,286,471.5113.95%7.33%化学纤维人工71,253,415.582.34%96,032,780.683.45%-1.11%医疗服务药品支出226,462,707.127.43%201,665,812.407.25%0.18%医疗服务人员支出193,559,813.526.35%222,361,018.488.00%-1.64%医疗服务耗材支出121,011,776.703.97%118,527,445.714.26%-0.29%医疗服务其他148,397,873.764.87%126,712,357.264.56%0.32%医药物流药品器械949,876,654.2831.17%872,465,268.5731.35%-0.19%说明无（6）报告期内合并范围是否发生变动□是√否（7）公司报告期内业务、产品或服务发生重大变化或调整有关情况□适用√不适用（8）主要销售客户和主要供应商情况公司主要销售客户情况前五名客户合计销售金额（元）177,733,239.73前五名客户合计销售金额占年度销售总额比例5.76%前五名客户销售额中关联方销售额占年度销售总额比例0.00%公司前5大客户资料序号客户名称销售额（元）占年度销售总额比例1客户142,889,369.521.39%2客户239,067,624.051.27%3客户336,788,223.741.19%4客户431,723,008.851.03%5客户527,265,013.570.88%合计--177,733,239.735.76%主要客户其他情况说明□适用√不适用公司主要供应商情况前五名供应商合计采购金额（元）353,325,823.85前五名供应商合计采购金额占年度采购总额比例14.94%前五名供应商采购额中关联方采购额占年度采购总额比例0.00%公司前5名供应商资料序号供应商名称采购额（元）占年度采购总额比例1供应商1134,191,863.895.68%2供应商262,129,738.692.63%3供应商</w:t>
      </w:r>
      <w:r>
        <w:rPr>
          <w:lang w:eastAsia="zh-CN"/>
        </w:rPr>
        <w:lastRenderedPageBreak/>
        <w:t>355,989,918.552.37%4供应商451,069,651.282.16%5供应商549,944,651.442.11%合计--353,325,823.8514.94%主要供应商其他情况说明□适用√不适用3、费用单位：元2020年2019年同比增减重大变动说明销售费用55,605,649.4891,977,871.67-39.54%主要系运输费计入成本管理费用239,623,308.80392,498,899.45-38.95%主要系本期停工损失减少财务费用144,824,043.45117,804,224.7822.94%无重大变化研发费用1,269,894.5420,850,091.08-93.91%本期用于粘胶产品的研发投入下降4、研发投入√适用□不适用公司研发投入较为平稳。公司主要对化纤生产工艺及技术、医疗专业课题等方面进行投入。公司研发投入情况2020年2019年变动比例研发人员数量（人）200275-27.27%研发人员数量占比5.34%5.45%-0.11%研发投入金额（元）1,269,894.5420,850,091.08-93.91%研发投入占营业收入比例0.04%0.70%-0.66%研发投入资本化的金额（元）0.000.000.00%资本化研发投入占研发投入的比例0.00%0.00%0.00%研发投入总额占营业收入的比重较上年发生显着变化的原因√适用□不适用主要原因系本期用于粘胶产品的研发投入下降。研发投入资本化率大幅变动的原因及其合理性说明□适用√不适用5、现金流单位：元项目2020年2019年同比增减经营活动现金流入小计2,543,360,955.972,309,080,089.2010.15%经营活动现金流出小计2,418,031,776.922,936,700,992.07-17.66%经营活动产生的现金流量净额125,329,179.05-627,620,902.87119.97%投资活动现金流入小计1,573,809,237.82625,342,913.83151.67%投资活动现金流出小计1,632,124,604.761,074,039,191.0851.96%投资活动产生的现金流量净额-58,315,366.94-448,696,277.2587.00%筹资活动现金流入小计2,807,939,105.713,823,359,600.28-26.56%筹资活动现金流出小计2,793,573,352.262,727,562,683.932.42%筹资活动产生的现金流量净额14,365,753.451,095,796,916.35-98.69%现金及现金等价物净增加额81,389,405.7313,963,909.00482.86%相关数据同比发生重大变动的主要影响因素说明√适用□不适用经营活动产生的现金流量净额较上年同期增加119.97%，主要原因系本期购买商品现金流出减少；投资活动现金流入小计较上年同期增加了151.67%，主要原因系赎回保本浮动收益的理财产品的金额增加；投资活动现金流出小计较上年同期增加了51.96%，主要原因系购买保本浮动收益的理财产品的金额增加；投资活动产生的现金流量净额较上年同期增加了87.00%，主要原因系本期理财产品到期收回增加；筹资活动产生的现金流量净额较上年同期减少了98.69%，主要原因系本期取得银行借款的金额减少；现金及现金等价物净增加额较上年同期增加了482.86%，主要原因系期末现金较期初现金的增加幅度增加。报告期内公司经营活动产生的现金净流量与本年度净利润存在重大差异的原因说明□适用√不适用三、非主营业务分析√适用□不适用单位：元金额占利润总额比例形成原因说明是否具有可持续性20,532,630.734.68%交易性金融资产持有期间产生的投资收益否投资收益23,838,754.815.44%权益投资划分为交易性金融资产，并按本期新增股东的增资价格计量公允价值；保本浮动收益理财产品上年余额到期结转投资收益否公允价值变动损益172,547,647.2037.65%按会计政策对应收账款和其他应收款计提信用减值损失；粘胶产品计提存货跌价及合同履约成本减值损失；部分粘胶产品已出现持续亏否资产减值四、资产及负债状况分析1、资产构成重大变动情况公司2020年起首次执行新收入准则或新租赁准</w:t>
      </w:r>
      <w:r>
        <w:rPr>
          <w:lang w:eastAsia="zh-CN"/>
        </w:rPr>
        <w:lastRenderedPageBreak/>
        <w:t>则且调整执行当年年初财务报表相关项目适用报废损失；损，对相关生产设备构成的资产组计提固定资产减值营业外收入22,980,301.085.24%政府补助否营业外支出18,298,769.264.18%非流动资产毁损、非常损失；损赠；赔偿损失；未决诉讼否单位：元2020年末2020年初占总资产比例占总资产比例比重增减重大变动说明金额金额1,467,913,183.6822.84%611,530,119.559.63%13.21%货币资金332,800,719.205.18%432,338,971.596.81%-1.63%应收账款267,017,604.724.15%371,066,828.315.85%-1.70%存货投资性房地产10,790,266.440.17%11,792,388.350.19%-0.02%长期股权投资14,152,829.840.22%17,912,321.630.28%-0.06%3,267,306,561.2550.84%3,621,590,936.2557.06%-6.22%固定资产在建工程4,977,457.380.08%31,309,783.540.49%-0.41%1,823,998,836.0228.38%2,051,458,400.6232.32%-3.94%短期借款569,466,666.728.86%754,523,333.3611.89%-3.03%长期借款2、以公允价值计量的资产和负债□适用√不适用3、截至报告期末的资产权利受限情况截止报告期末，公司部分货币资金、应收票据、固定资产及无形资产用于向银行申请授信而抵押或质押。五、投资状况分析1、总体情况√适用□不适用报告期投资额（元）上年同期投资额（元）变动幅度135,834,988.61436,962,499.47-68.91%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2018非公开发行股票38,399.95032,171.906,920.8318.02%4,887.53继续用于募集资金项目建设0合计--38,399.95032,171.906,920.8318.02%4,887.53--0募集资金总体使用情况说明截止报告日，募集资金总体使用正常。根据公司第六届董事会第二十五次会议审议通过的《2016年非公开发行股票预案（四次修订稿）》，港城康复医院建设项目本报告期实现的效益为-170.13万元；澳洋医院三期综合用房建设项目实现的效益为2057.61万元。2018年12月，港城康复医院建设项目和澳洋医院三期综合用房建设项目达到预定可使用状态，截止至2019年12月31日，上述项目运营期已满两年。董事会已于2020年6月21日通过了《关于变更部分募集资金实施主体暨变更募集资金专项账户的议案》，详见（公告编号：2019-47）；《关于终止实施部分募投项目并将剩余募集资金永久补充流动资金的议案》，详见（公告编号：2019-49）。上述两项募集资金变更议案已于2020年7月9日在2019年第一次临时股东大会中通过并实施，详见（公告编号：2019-52）。（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1.港城康复医院建设项目否</w:t>
      </w:r>
      <w:r>
        <w:rPr>
          <w:lang w:eastAsia="zh-CN"/>
        </w:rPr>
        <w:lastRenderedPageBreak/>
        <w:t>10,85310,853010,025.4492.37%2018年12月01日-170.13否否2.澳洋医院三期综合用房建设项目否14,44714,447013,938.0496.48%2018年12月01日2,057.61否否3.澳洋医学科研中心建设项目是6,9000不适用是4.澳洋健康医疗信息化项目否6,2004,749.9501,287.5927.11%不适用否永久性补充流动资金是6,920.8306,920.83100.00%不适用否承诺投资项目小计--38,40036,970.78032,171.9----1,887.48----超募资金投向无否00000.00%0合计--38,40036,970.78032,171.9----1,887.48----1、港城康复医院建设项目：港城康复项目是一个新成立的康复医院，其床位使用率正处于爬坡阶段自澳洋医院吸收合并港城康复后，港城康复与澳洋医院开始探索为患者提供前端医疗后端康复的医康一体化服务，以期实现医疗康复的业务协同。2、澳洋医院三期综合用房建设项目：公司澳洋医院三期项目尚处于业务上升阶段，相关科室已开始营业，与上年相比实现效益增长68%以上，开始进入盈利期，本期未达标主要是上半年受疫情影响非医保项目开展受到一定阻碍，但从下半年开始已经恢复到正常经营水平。未达到计划进度或预计收益的情况和原因（分具体项目），3、澳洋健康医疗信息化项目:信息化项目的实施当前正迎合互联网医院的发展趋势，但具体形式和开展方式公司正在与社保管理部门、金融机构等进行积极沟通，确保投资与政府政策以及第三方金融机构系统可以相衔接，避免盲目和重复投资。项目可行性发生重大变化的情况说明从2018年至2019年6月20日，澳洋医学科研中心建设项目未投入建设，已经搁置一年以上。公司通过综合利用澳洋医院三期综合大楼及原部分职能科室搬迁至澳洋医院三期综合楼之后空置部分的空间承接了原计划由澳洋医学科研中心建设项目承载的项目。出于减少投资成本，实行轻资产运营的经营管理理念，同时为了增加公司资金的流动性，公司终止“澳洋医学科研中心建设项目”的实施并将该项目剩余的募集资金及利息永久补充公司流动资金用于公司生产经营以提高资金使用效率。超募资金的金额、用途及使用进展情况不适用募集资金投资项目实施地点变更情况不适用募集资金投资项目实施方式调整情况不适用募集资金投资项目先期投入及置换情况适用募集资金到位前，公司以自筹资金预先投入募集资金投资项目共计14,163.97万元，根据公司第六届董事会第三十二次会议审议通过的《关于以募集资金置换预先投入募投项目自筹资金的议案》，使用募集资金置换前期预先投入资金为14,163.97万元，并经立信会计师事务所（特殊普通合伙）审核出具了信会师报字[2018]第ZA15374号《募集资金置换专项鉴证报告》。用闲置募集资金暂时补充流动资金情况适用公司于2020年4月15日召开第七届董事会第十四次会议审议通过了《关于使用部分闲置募集资金临时补充流动资金的议案》，为提高募集资金使用效率，降低财务成本，在保证募集资金项目正常建设的资金需求下，公司决定使用人民币3,000万元闲置募集资金临时用于补充流动资金。公司本次使用部分闲置募集资金临时用于补充流动资金的期限为自董事会批准之日起，使用时间不超过12个月，到期后归还至募集资金专用账户。在此期间如遇募集资金专用账户余额不能满足募集资金正常支付的情况，公司将根据实际需要将已临时补充流动资金的募集资金返回至募集资金专用账户。详见（公告编号：2020-30）。本报告期内，公司尚未归还用于临时补充流动资金的闲置募集资金人民币3,000.00万元。项目实施出现募集资金结余的金额及原因不适用尚未使用的募集资金用途及去向存放在募集资金专户中。募集资金使用及披露中存在的问题或其他情况无，，（3）募集资金变更项目情况□适用√不适用公司报告期不存在募集资金变更项目情况。六、重大资产</w:t>
      </w:r>
      <w:r>
        <w:rPr>
          <w:lang w:eastAsia="zh-CN"/>
        </w:rPr>
        <w:lastRenderedPageBreak/>
        <w:t>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阜宁澳洋科技有限责任公司子公司粘胶化纤生产及销售149,773万元人民币2,974,310,443.93587,397,648.341,176,679,007.03-416,072,064.54-420,631,321.40张家港澳洋医院有限公司子公司医疗服务50,000万元人民币2,276,713,209.50697,141,656.47794,361,358.7136,849,254.5937,750,586.26江苏澳洋医药物流有限公司子公司医药仓储、货运及销售25,000万元人民币1,112,712,151.94211,559,196.601,210,284,790.97-6,367,574.78-25,177,295.94报告期内取得和处置子公司的情况□适用√不适用主要控股参股公司情况说明八、公司控制的结构化主体情况□适用√不适用九、公司未来发展的展望2020年，公司纤维产业面对严峻市场形势，业绩下行压力较大。在粘胶价格持续低迷情况之下，公司主动调整生产量。粘胶全年累计生产13.40万吨；实现销售收入12.14亿元；医疗产业业绩整体较为稳定，澳洋医院成功晋升三级综合医院、医院成为江苏大学研究生工作站，顺利通过苏州市卫健委国家住院医师规范化培训协同基地评审。2020年门急诊总人数全年累计70.02万人次；出院总人数全年累计4.43万人次；累计实现营业收入全年8.58亿元；医药产业板块运营质量稳步提升，产业布局展现新的气象。医药板块全年实现收入10.11亿元。自2015年，澳洋科技公司完成澳洋健投股权收购，标志着澳洋健康产业正式进入快速发展的“资本时代”。五年间，通过医疗事业部的整体统筹，总分院实现了业务资源共享联动、行政后勤资源整合，医疗医药产业融合，显现一体化发展成效。当前经济及政策环境不确定、不稳定因素仍较多，经济持续发展的基础还不牢固。公司将继续在推进精细化管理、信息化建设上持续发力。2021年发展总体思路：坚持以习近平新时代中国特色社会主义思想为指导，坚持稳中求进工作总基调，坚持以新发展理念引领高质量发展，围绕医疗医药融合发展、医康养护一体化发展战略，，加快资产的优化调整，实现大健康产业的升级转型；医疗板块持续推进和完善医联体建设，提升医康养护一体化治理能力和运营水平、加大力度拓展非医保业务；医药物流业务的采购、销售、供应链高度融合，整合资源拓展新业务。围绕上述目标，重点做好以下六个方面工作：（一）从深推进医康养护一体化建设、医疗医药融合发展（二）推进互联网医院、医药物流信息一体化建设（三）推进医院内涵建设（四）推进物流人才队伍和物流体系建设（五）推进自主品牌及产品建设（六）推进各部门职责和效能建设十、接待调研、沟通、采访等活动1、报告期内接待调研、沟通、采访等活动登记表□适用√不适用公司报告期内未发生接待调研、沟通、采访等活动。</w:t>
      </w:r>
    </w:p>
    <w:p w14:paraId="1F9DCB62" w14:textId="77777777" w:rsidR="0094727D" w:rsidRDefault="00000000">
      <w:pPr>
        <w:rPr>
          <w:lang w:eastAsia="zh-CN"/>
        </w:rPr>
      </w:pPr>
      <w:r>
        <w:rPr>
          <w:rFonts w:hint="eastAsia"/>
          <w:lang w:eastAsia="zh-CN"/>
        </w:rPr>
        <w:t xml:space="preserve">         标注：22</w:t>
      </w:r>
    </w:p>
    <w:sectPr w:rsidR="009472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AF1C" w14:textId="77777777" w:rsidR="00033B1B" w:rsidRDefault="00033B1B">
      <w:pPr>
        <w:spacing w:line="240" w:lineRule="auto"/>
      </w:pPr>
      <w:r>
        <w:separator/>
      </w:r>
    </w:p>
  </w:endnote>
  <w:endnote w:type="continuationSeparator" w:id="0">
    <w:p w14:paraId="6C71A33C" w14:textId="77777777" w:rsidR="00033B1B" w:rsidRDefault="00033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19FC" w14:textId="77777777" w:rsidR="00033B1B" w:rsidRDefault="00033B1B">
      <w:pPr>
        <w:spacing w:after="0"/>
      </w:pPr>
      <w:r>
        <w:separator/>
      </w:r>
    </w:p>
  </w:footnote>
  <w:footnote w:type="continuationSeparator" w:id="0">
    <w:p w14:paraId="5F907C1C" w14:textId="77777777" w:rsidR="00033B1B" w:rsidRDefault="00033B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90933329">
    <w:abstractNumId w:val="1"/>
  </w:num>
  <w:num w:numId="2" w16cid:durableId="1494878755">
    <w:abstractNumId w:val="4"/>
  </w:num>
  <w:num w:numId="3" w16cid:durableId="1283614073">
    <w:abstractNumId w:val="5"/>
  </w:num>
  <w:num w:numId="4" w16cid:durableId="962731829">
    <w:abstractNumId w:val="2"/>
  </w:num>
  <w:num w:numId="5" w16cid:durableId="1880973049">
    <w:abstractNumId w:val="0"/>
  </w:num>
  <w:num w:numId="6" w16cid:durableId="643971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3B1B"/>
    <w:rsid w:val="00034616"/>
    <w:rsid w:val="0006063C"/>
    <w:rsid w:val="0015074B"/>
    <w:rsid w:val="0029639D"/>
    <w:rsid w:val="00326F90"/>
    <w:rsid w:val="0094727D"/>
    <w:rsid w:val="00AA1D8D"/>
    <w:rsid w:val="00B47730"/>
    <w:rsid w:val="00CB0664"/>
    <w:rsid w:val="00DE6FAB"/>
    <w:rsid w:val="00FC693F"/>
    <w:rsid w:val="626F2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F0AA9"/>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7FA463ABF0D24E0DA48EC04D0B13D554</vt:lpwstr>
  </property>
</Properties>
</file>