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D3DB" w14:textId="77777777" w:rsidR="00FF1A4C" w:rsidRDefault="00000000">
      <w:pPr>
        <w:rPr>
          <w:lang w:eastAsia="zh-CN"/>
        </w:rPr>
      </w:pPr>
      <w:r>
        <w:rPr>
          <w:lang w:eastAsia="zh-CN"/>
        </w:rPr>
        <w:t>第四节经营情况讨论与分析一、概述2018年，面对市场不确定因素增多、挑战日趋严峻的不利局面，公司坚持新发</w:t>
      </w:r>
      <w:r w:rsidRPr="008F39D4">
        <w:rPr>
          <w:lang w:eastAsia="zh-CN"/>
        </w:rPr>
        <w:t>展理念，牢牢把握稳中求进工作总基调，围绕高质量发展，稳步、有序地推进核心技术创新与高端产品开发、重点市场布局与客户结构升级，加快管理变革、推广精益生产，着力推进党的建设，公司经营业绩整体稳中有进、进中向好，发展规模、质量和效益进一步提升。2018年实现营业收入49.29亿元，同比增长8%；受传统市场竞争环境恶化及公司新一期股权激励费用影响，净利润同比下滑5%，扣除股</w:t>
      </w:r>
      <w:r>
        <w:rPr>
          <w:lang w:eastAsia="zh-CN"/>
        </w:rPr>
        <w:t>权激励费用的影响后，净利润同比增长11%。（一）市场情况以抢抓市场机遇、攻克重点领域为关键抓</w:t>
      </w:r>
      <w:r w:rsidRPr="008F39D4">
        <w:rPr>
          <w:lang w:eastAsia="zh-CN"/>
        </w:rPr>
        <w:t>手，系统优化市场布局、巩固行业地位。设备商领域，成为重点客户的“全球金牌供应商”</w:t>
      </w:r>
      <w:r>
        <w:rPr>
          <w:lang w:eastAsia="zh-CN"/>
        </w:rPr>
        <w:t>及</w:t>
      </w:r>
      <w:r>
        <w:rPr>
          <w:highlight w:val="red"/>
          <w:lang w:eastAsia="zh-CN"/>
        </w:rPr>
        <w:t>5G</w:t>
      </w:r>
      <w:r w:rsidRPr="008F39D4">
        <w:rPr>
          <w:lang w:eastAsia="zh-CN"/>
        </w:rPr>
        <w:t>核心供应商；在运</w:t>
      </w:r>
      <w:r>
        <w:rPr>
          <w:lang w:eastAsia="zh-CN"/>
        </w:rPr>
        <w:t>营商方面，核心产品中标多个标段，重点新品中标多地移动、联通</w:t>
      </w:r>
      <w:proofErr w:type="gramStart"/>
      <w:r>
        <w:rPr>
          <w:lang w:eastAsia="zh-CN"/>
        </w:rPr>
        <w:t>汇聚分流</w:t>
      </w:r>
      <w:proofErr w:type="gramEnd"/>
      <w:r>
        <w:rPr>
          <w:lang w:eastAsia="zh-CN"/>
        </w:rPr>
        <w:t>项目；在资讯商市场，数据中心</w:t>
      </w:r>
      <w:r>
        <w:rPr>
          <w:highlight w:val="red"/>
          <w:lang w:eastAsia="zh-CN"/>
        </w:rPr>
        <w:t>光模块</w:t>
      </w:r>
      <w:r>
        <w:rPr>
          <w:lang w:eastAsia="zh-CN"/>
        </w:rPr>
        <w:t>在重点客户中获得大份额订单，</w:t>
      </w:r>
      <w:r>
        <w:rPr>
          <w:highlight w:val="red"/>
          <w:lang w:eastAsia="zh-CN"/>
        </w:rPr>
        <w:t>DCI</w:t>
      </w:r>
      <w:r>
        <w:rPr>
          <w:lang w:eastAsia="zh-CN"/>
        </w:rPr>
        <w:t>进入多家主流资讯商供货清单。大力开拓国际市场，以丰富的产品组合，赢得客户。国际市场销售收入同比增长53%，创历史新高。（二）研发情况以强化技术预研、厚积传新优势为动力源泉，持续深化创新格局、掌握核心技术。在</w:t>
      </w:r>
      <w:r>
        <w:rPr>
          <w:highlight w:val="red"/>
          <w:lang w:eastAsia="zh-CN"/>
        </w:rPr>
        <w:t>高速芯片</w:t>
      </w:r>
      <w:r>
        <w:rPr>
          <w:lang w:eastAsia="zh-CN"/>
        </w:rPr>
        <w:t>、</w:t>
      </w:r>
      <w:r>
        <w:rPr>
          <w:highlight w:val="red"/>
          <w:lang w:eastAsia="zh-CN"/>
        </w:rPr>
        <w:t>5G</w:t>
      </w:r>
      <w:r>
        <w:rPr>
          <w:lang w:eastAsia="zh-CN"/>
        </w:rPr>
        <w:t>、</w:t>
      </w:r>
      <w:r>
        <w:rPr>
          <w:highlight w:val="red"/>
          <w:lang w:eastAsia="zh-CN"/>
        </w:rPr>
        <w:t>400G</w:t>
      </w:r>
      <w:r>
        <w:rPr>
          <w:lang w:eastAsia="zh-CN"/>
        </w:rPr>
        <w:t>、</w:t>
      </w:r>
      <w:r w:rsidRPr="008F39D4">
        <w:rPr>
          <w:lang w:eastAsia="zh-CN"/>
        </w:rPr>
        <w:t>平台建设等领域实现阶段性突破。全年申请专利210件，授权109件。本年度内，获得国家</w:t>
      </w:r>
      <w:r>
        <w:rPr>
          <w:lang w:eastAsia="zh-CN"/>
        </w:rPr>
        <w:t>技术发明奖二等奖1项、中国专利优秀奖1项、湖北省科技进步一等奖1项、中国通信学会科技进步二等奖1项。（三）生产运营情况以加强</w:t>
      </w:r>
      <w:r>
        <w:rPr>
          <w:highlight w:val="red"/>
          <w:lang w:eastAsia="zh-CN"/>
        </w:rPr>
        <w:t>智能制造</w:t>
      </w:r>
      <w:r>
        <w:rPr>
          <w:lang w:eastAsia="zh-CN"/>
        </w:rPr>
        <w:t>、加</w:t>
      </w:r>
      <w:r w:rsidRPr="008F39D4">
        <w:rPr>
          <w:lang w:eastAsia="zh-CN"/>
        </w:rPr>
        <w:t>快两化融合为重要支撑，强化内、外部产能协同，进一步提升交付及时率；强化关键物料供应体系建设，开源采购渠道，进一步提升供应保障能力；强化供应商管控策略、创新招标模式，进一</w:t>
      </w:r>
      <w:r>
        <w:rPr>
          <w:lang w:eastAsia="zh-CN"/>
        </w:rPr>
        <w:t>步压降运营成本；强化精益理念，推广精益生产工具，进一步提升产出质效；强化库存结构优化，降低呆滞风险，进一步提升</w:t>
      </w:r>
      <w:r w:rsidRPr="008F39D4">
        <w:rPr>
          <w:lang w:eastAsia="zh-CN"/>
        </w:rPr>
        <w:t>库存管理能力</w:t>
      </w:r>
      <w:r>
        <w:rPr>
          <w:lang w:eastAsia="zh-CN"/>
        </w:rPr>
        <w:t>。以</w:t>
      </w:r>
      <w:r>
        <w:rPr>
          <w:highlight w:val="red"/>
          <w:lang w:eastAsia="zh-CN"/>
        </w:rPr>
        <w:t>数字化转型</w:t>
      </w:r>
      <w:r w:rsidRPr="008F39D4">
        <w:rPr>
          <w:lang w:eastAsia="zh-CN"/>
        </w:rPr>
        <w:t>助力内、外资源高效协同，生产运</w:t>
      </w:r>
      <w:r>
        <w:rPr>
          <w:lang w:eastAsia="zh-CN"/>
        </w:rPr>
        <w:t>营和</w:t>
      </w:r>
      <w:r w:rsidRPr="008F39D4">
        <w:rPr>
          <w:lang w:eastAsia="zh-CN"/>
        </w:rPr>
        <w:t>制造信息化水平进一步提高；持</w:t>
      </w:r>
      <w:r>
        <w:rPr>
          <w:lang w:eastAsia="zh-CN"/>
        </w:rPr>
        <w:t>续推进</w:t>
      </w:r>
      <w:r>
        <w:rPr>
          <w:highlight w:val="red"/>
          <w:lang w:eastAsia="zh-CN"/>
        </w:rPr>
        <w:t>有源</w:t>
      </w:r>
      <w:r>
        <w:rPr>
          <w:lang w:eastAsia="zh-CN"/>
        </w:rPr>
        <w:t>、</w:t>
      </w:r>
      <w:r>
        <w:rPr>
          <w:highlight w:val="red"/>
          <w:lang w:eastAsia="zh-CN"/>
        </w:rPr>
        <w:t>无源工艺</w:t>
      </w:r>
      <w:r>
        <w:rPr>
          <w:lang w:eastAsia="zh-CN"/>
        </w:rPr>
        <w:t>平台建设，建成</w:t>
      </w:r>
      <w:r>
        <w:rPr>
          <w:highlight w:val="red"/>
          <w:lang w:eastAsia="zh-CN"/>
        </w:rPr>
        <w:t>自动化立体仓库</w:t>
      </w:r>
      <w:r>
        <w:rPr>
          <w:lang w:eastAsia="zh-CN"/>
        </w:rPr>
        <w:t>，</w:t>
      </w:r>
      <w:r>
        <w:rPr>
          <w:highlight w:val="red"/>
          <w:lang w:eastAsia="zh-CN"/>
        </w:rPr>
        <w:t>自动化</w:t>
      </w:r>
      <w:r>
        <w:rPr>
          <w:lang w:eastAsia="zh-CN"/>
        </w:rPr>
        <w:t>生产水平进一步提升。</w:t>
      </w:r>
      <w:r>
        <w:rPr>
          <w:highlight w:val="red"/>
          <w:lang w:eastAsia="zh-CN"/>
        </w:rPr>
        <w:t>光电子</w:t>
      </w:r>
      <w:r>
        <w:rPr>
          <w:lang w:eastAsia="zh-CN"/>
        </w:rPr>
        <w:t>产业园二期工程顺利通过竣工验收，</w:t>
      </w:r>
      <w:r>
        <w:rPr>
          <w:highlight w:val="red"/>
          <w:lang w:eastAsia="zh-CN"/>
        </w:rPr>
        <w:t>B1</w:t>
      </w:r>
      <w:r w:rsidRPr="008F39D4">
        <w:rPr>
          <w:lang w:eastAsia="zh-CN"/>
        </w:rPr>
        <w:t>生产厂房按</w:t>
      </w:r>
      <w:r>
        <w:rPr>
          <w:lang w:eastAsia="zh-CN"/>
        </w:rPr>
        <w:t>计划有序搬迁，陆续投入生产，B3员工中心宿舍和食堂同步启用。（四）投融资情况强化资本运作，牢牢掌握创新资源。国家信息光电子创新中心正式授牌，国迅量子芯在中国</w:t>
      </w:r>
      <w:r>
        <w:rPr>
          <w:highlight w:val="red"/>
          <w:lang w:eastAsia="zh-CN"/>
        </w:rPr>
        <w:t>量子信息</w:t>
      </w:r>
      <w:r>
        <w:rPr>
          <w:lang w:eastAsia="zh-CN"/>
        </w:rPr>
        <w:t>技术产业峰会上揭牌亮相，三个异地研发中心先后进入实质化运作，补齐技术短板；非公开发行再融资方案获得批准，为创新发展积蓄更加雄厚的资源。（五）党建及重点管理工作深入贯彻落实党的十九大精神和习总书记视察集团讲话精神，持续组织“两学一做”，先后开展梁家河精神、纪念改革开放40周年等专题学习活动，以党建引领公司高质量发展；围绕“六强化六提升”的党建工作思路，紧抓“党建经营互融互促”、“支部管理优化升级”两条路径，形成品牌创建、党建课堂和党支部目标管理三项特色工作；紧扣“八项规定”精神和反“四风”要求，持续开展党章、党规、党纪专题教育和警示教育，加强监督体系建设，细化廉洁纪律要求，营造“风清气正”的经营环境；坚持党建带工建、带团建，不断创新党工团联动工作机制，将团员思想教育与打造团组织品牌有机结合；加大工会关爱力度、丰富关爱方式，为员工办好事、办实事。加强市场洞察和战略解码能力，识别新兴业态、新机会；优化组织结构、调配关键资源，提升业务能力与市场需求的匹配度；加</w:t>
      </w:r>
      <w:r w:rsidRPr="008F39D4">
        <w:rPr>
          <w:lang w:eastAsia="zh-CN"/>
        </w:rPr>
        <w:t>强管理变革，启动战略管理咨询项目，确保战略目标有效落地；加强风险防范和应急管理，推动重要领域风险防控；强化合规经营意识，提升法律风险防范能力；持续强化安全管理，营造安全文化，全年未发生一般及以上安全和环保事故；加强对境内外各子公司、开发平台的管控力，集群化管理机制逐渐成型；推动VI建设，广泛征集优</w:t>
      </w:r>
      <w:r>
        <w:rPr>
          <w:lang w:eastAsia="zh-CN"/>
        </w:rPr>
        <w:t>秀人物事</w:t>
      </w:r>
      <w:r>
        <w:rPr>
          <w:lang w:eastAsia="zh-CN"/>
        </w:rPr>
        <w:lastRenderedPageBreak/>
        <w:t>迹，策划制作企业画卷和创意视频，讲好光迅故事、传递光迅声音。二、主营业务分析1、概述参见“经营情况讨论与分析”中的“一、概述”相关内容。2、收入与成本（1）营业收入构成单位：元2018年2017年同比增减金额占营业收入比重金额占营业收入比重营业收入合计4,929,049,262.27100%4,553,066,950.98100%8.26%分行业通信设备制造业4,914,635,792.0999.71%4,545,845,021.7399.84%8.11%其他业务收入14,413,470.180.29%7,221,929.250.16%99.58%分产品传输2,939,528,845.7659.64%2,851,402,182.9262.63%3.09%数据与接入1,888,341,590.1938.31%1,652,335,647.1636.29%14.28%其他86,765,356.141.76%42,107,191.650.92%106.06%其他业务收入14,413,470.180.29%7,221,929.250.16%99.58%分地区国内3,174,469,973.2064.40%3,406,633,895.3574.82%-6.82%国外1,754,579,289.0735.60%1,146,433,055.6325.18%53.05%（2）占公司营业收入或营业利润10%以上的行业、产品或地区情况√适用□不适用公司是否需要遵守特殊行业的披露要求否单位：元营业收入营业成本毛利率营业收入比上年同期增减营业成本比上年同期增减毛利率比上年同期增减分行业通信设备制造业4,914,635,792.093,946,176,710.2619.71%8.11%9.57%-1.07%分产品传输2,939,528,845.772,154,559,149.7126.70%3.09%1.78%0.95%数据与接入1,888,341,590.191,724,659,757.998.67%14.28%18.65%-3.36%分地区国内3,174,469,973.192,666,083,362.8116.01%-6.82%-4.17%-2.32%国外1,754,579,289.071,285,817,080.6826.72%53.05%56.36%-1.55%公司主营业务数据统计口径在报告期发生调整的情况下，公司最近1年按报告期末口径调整后的主营业务数据□适用√不适用（3）公司实物销售收入是否大于劳务收入√是□否行业分类项目单位2018年2017年同比增减通信设备制造业销售量万只16,351.6113,01725.62%生产量万只16,678.6413,20626.30%库存量万只2,321.031,99416.40%相关数据同比发生变动30%以上的原因说明□适用√不适用（4）公司已签订的重大销售合同截至本报告期的履行情况□适用√不适用（5）营业成本构成行业分类单位：元行业分类项目2018年2017年同比增减金额占营业成本比重金额占营业成本比重通讯设备制造业直接材料3,160,808,651.7979.98%2,845,187,956.2178.93%11.09%通讯设备制造业直接人工607,456,053.9815.37%524,830,622.0314.56%15.74%通讯设备制造业制造费用177,912,004.494.50%231,425,052.606.42%-23.12%其他业务直接材料5,723,733.230.14%3,031,315.000.09%88.82%（6）报告期内合并范围是否发生变动□是√否（7）公司报告期内业务、产品或服务发生重大变化或调整有关情况□适用√不适用（8）主要销售客户和主要供应商情况公司主要销售客户情况前五名客户合计销售金额（元）2,401,531,471.95前五名客户合计销售金额占年度销售总额比例41.90%前五名客户销售额中关联方销售额占年度销售总额比例7.56%公司前5大客户资料序号客户名称销售额（元）占年度销售总额比例1客户一1,156,515,627.0120.18%2烽火通信科技股份有限公司433,261,417.107.56%3客户三349,930,185.676.11%4客户四281,403,281.144.91%5客户五180,420,961.033.15%合计--2,401,531,471.9541.90%主要客户其他情况说明□适用√不适用公司主要供应商情况前五名供应商合计采购金额（元）</w:t>
      </w:r>
      <w:r>
        <w:rPr>
          <w:lang w:eastAsia="zh-CN"/>
        </w:rPr>
        <w:lastRenderedPageBreak/>
        <w:t>702,220,043.01前五名供应商合计采购金额占年度采购总额比例16.27%前五名供应商采购额中关联方采购额占年度采购总额比例0.00%公司前5名供应商资料序号供应商名称采购额（元）占年度采购总额比例1供应商一181,918,985.064.22%2供应商二156,062,779.683.62%3供应商三131,853,932.593.06%4供应商四130,908,113.903.03%5供应商五101,476,231.782.35%合计--702,220,043.0116.27%主要供应商其他情况说明□适用√不适用3、费用单位：元2018年2017年同比增减重大变动说明销售费用136,687,419.85114,408,571.3919.47%管理费用110,609,220.0695,899,148.2115.34%财务费用-40,165,387.909,049,177.73-543.86%本年财务费用汇兑收益增加研发费用395,309,379.31359,070,658.4510.11%4、研发投入√适用□不适用以强化技术预研、厚积传新优势为动力源泉，持续深化创新格局、掌握核心技术。在高速芯片、5G、400G、平台建设等领域实现阶段性突破：完成高速25G系列芯片开发；大功率硅光光源输出功率、硅光调制芯片带宽均得到有效提升，为硅光产品化应用扫除关键技术障碍；平面光波导集成推出工业级应用；5G前传/中传应用产品开发已形成系列；完成硅光有源芯片首轮设计开发、流片和测试；通过光纤激光器测试验证平台立项，完成整机和器件验证平台搭建；重点推进五个技术功能平台建设，以支撑400G高速数据通信器件研发。以面向世界科技前沿、面向经济主战场、面向国家重大需求为指引，主动承担和参与国家重大课题研究。全年批复各类项目27项，申请专利210件，授权109件。本年度内，获得国家技术发明奖二等奖1项、中国专利优秀奖1项、湖北省科技进步一等奖1项、中国通信学会科技进步二等奖1项。公司研发投入情况2018年2017年变动比例研发人员数量（人）87969227.02%研发人员数量占比19.76%16.13%3.63%研发投入金额（元）458,310,955.34407,169,273.1412.56%研发投入占营业收入比例9.30%8.94%0.36%研发投入资本化的金额（元）45,563,611.5148,098,614.69-5.27%资本化研发投入占研发投入的比例9.94%11.81%-1.87%研发投入总额占营业收入的比重较上年发生显着变化的原因□适用√不适用研发投入资本化率大幅变动的原因及其合理性说明□适用√不适用5、现金流单位：元项目2018年2017年同比增减经营活动现金流入小计5,231,196,227.884,538,993,035.7415.25%经营活动现金流出小计4,947,764,106.484,257,866,832.8016.20%经营活动产生的现金流量净额283,432,121.40281,126,202.940.82%投资活动现金流入小计380,636,140.17394,544,825.57-3.53%投资活动现金流出小计700,914,890.25487,972,896.7143.64%投资活动产生的现金流量净额-320,278,750.08-93,428,071.14242.81%筹资活动现金流入小计194,961,381.59筹资活动现金流出小计118,912,289.05105,611,406.4412.59%筹资活动产生的现金流量净额76,049,092.54-105,611,406.44-172.01%现金及现金等价物净增加额44,476,771.9079,781,856.51-44.25%相关数据同比发生重大变动的主要影响因素说明√适用□不适用投资活动产生的现金流量净额同比减少242.81%，主要原因为本期现金管理增加所致；筹资活动产生的现金流量净额同比增加172.01%，主要原因为本期收到的股权激励对象缴纳的认购款增加所致。报告期内公司经营活动产生的现金净流量与本年度净利润存在重大差异的原因说明□适用√不适用三、非主营业务分析√适用□不适用单位：元金额占利润总额比例形成原因说明是否具有可持续性投资收益-8,076,653.82-2.55%主要为本期对联营企业的投资亏损是公允价</w:t>
      </w:r>
      <w:r>
        <w:rPr>
          <w:lang w:eastAsia="zh-CN"/>
        </w:rPr>
        <w:lastRenderedPageBreak/>
        <w:t>值变动损益资产减值93,744,586.0629.57%主要为本期计提的存货跌价准备是营业外收入1,015,670.330.32%主要为本期收到的营业外收入否营业外支出1,032,445.790.33%主要为本期非流动资产毁损报废损失否其他收益62,044,973.1819.57%主要为本期结转的政府补贴是资产处置收益-1,311,169.22-0.41%主要为非流动资产处置收益否四、资产及负债状况分析1、资产构成重大变动情况单位：元2018年末2017年末比重增减重大变动说明金额占总资产比例金额占总资产比例货币资金915,589,007.4915.06%871,111,974.5916.87%-1.81%应收账款1,610,067,680.9126.47%1,166,962,046.6222.60%3.87%应收账款期末大幅增加，主要原因为本期账期内应收账款增加所致存货1,418,961,465.1023.33%1,228,206,121.8423.79%-0.46%投资性房地产0.00%0.00%长期股权投资59,055,958.270.97%67,132,612.091.30%-0.33%固定资产1,047,933,802.8917.23%713,390,976.5013.82%3.41%固定资产期末大幅增加，主要原因为产业园二期完工转入固定资产所致在建工程696,699.690.01%160,789,109.053.11%-3.10%在建工程期末大幅减少，主要原因为产业园二期完工转入固定资产所致短期借款157,676,078.332.59%0.00%2.59%短期借款期末大幅增加，主要原因本期进口贸易融资增加所致长期借款81,364,433.451.34%74,000,000.001.43%-0.09%预付账款34,187,804.270.56%66,798,041.141.29%-0.73%预付账款减少，主要原因为本期预付供应商货款减少所致其他流动资产66,022,628.231.09%35,054,932.230.68%0.41%其他流动资产增加，主要原因为本期留抵的企业所得税增加所致无形资产98,637,328.591.62%66,299,080.251.28%0.34%无形资产增加，主要原因为本期内部研发无形资产增加所致开发支出53,885,134.070.89%36,447,169.570.71%0.18%开发支出增加，主要原因为本期研发资本化增加所致长期待摊费用16,018,378.470.26%6,552,352.070.13%0.13%长期待摊费用增加，主要原因为本期长期待摊增加所致递延所得税资产38,706,789.020.64%25,352,277.320.49%0.15%递延所得税资产增加，主要原因为本期计提资产减值损失增加所致其他非流动资产101,708,034.721.67%50,774,622.290.98%0.69%其他非流动资产增加，主要原因为本期预付设备款增加所致应付票据915,163,737.8515.05%591,631,344.6111.46%3.59%应付票据增加，主要原因为本期应付票据增加所致应交税费4,907,374.890.08%16,011,093.450.31%-0.23%应交税费减少，主要原因为本期应交增值税减少所致其他应付款201,142,815.683.31%20,350,568.480.39%2.92%其他应付款增加，主要原因为本期收到的股权激励款全额确认负债所致一年内到期的非流动负债5,000,000.000.08%0.00%0.08%一年内到期的非流动负债增加，主要原因为一年内到期的长期借款重分类所致预计负债5,460,536.640.09%3,127,734.390.06%0.03%预计负债增加，主要原因为销售增长对应的产品质量保证增加所致2、以公允价值计量的资产和负债□适用√不适用3、截至报告期末的资产权利受限情况1、其他货币资金94,572.00元受限，系境外子公司信用卡存款。2、其他应收款中15,926,922.37元受限，为ALMAE向法国巴黎银行借款质押。五、投资状况分析1、总体情况□适用√不适用2、报告期内获取的重大的股权投资情况□适用√不适用3、报告期内正在进行的重大的非股权投资情况□适用√不适用4、以公允价值计量的金融资产□适用√不适用5、募集资金使用情况√适用□</w:t>
      </w:r>
      <w:r>
        <w:rPr>
          <w:lang w:eastAsia="zh-CN"/>
        </w:rPr>
        <w:lastRenderedPageBreak/>
        <w:t>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2014非公开发行股票60,960.476,039.6254,311.88000.00%6,648.59用于尚未结算的工程项目0合计--60,960.476,039.6254,311.88000.00%6,648.59--0募集资金总体使用情况说明2018年度1-12月存款利息收入90.38万元，收到归还到期补充流动资金10,000万元，银行手续费支出0.29万元，募投项目支出6,039.62万元，截至2018年12月31日止，公司募集资金余额为10,126.70万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宽带网络核心光电子芯片与器件产业化项目否60,96360,9636,039.6254,311.8889.09%6,473.46是否承诺投资项目小计--60,96360,9636,039.6254,311.88----6,473.46----超募资金投向无否0000合计--60,96360,9636,039.6254,311.88----6,473.46----未达到计划进度或预计收益的情况和原因（分具体项目）因技术进步升级大型高精度芯片生产设备导致原设计不能满足设备运行要求，需要进行设计变更。并且工艺设计优化耗时较长以及相应的施工图审查和消防审查等原因导致募投项目投入未达计划进度。2017年8月23日召开公司第五届监事会第八次会议，审议通过了《关于募集资金投资项目延期的议案》，同意公司调整募集资金投资项目“宽带网络核心光电子芯片与器件产业化项目”的实施进度，将项目达到预定可使用状态的日期延期至2018年3月31日。项目可行性发生重大变化的情况说明不适用超募资金的金额、不适用存放银行银行账户账号存款方式余额中国工商银行武汉武昌支行3202018629200082006协定存款101,267,014.72合计101,267,014.72用途及使用进展情况募集资金投资项目不适用实施地点变更情况募集资金投资项目不适用实施方式调整情况募集资金投资项目不适用先期投入及置换情况用闲置募集资金暂适用2015年4月16日召开了第四届董事会第十四次会议（临时会议），审议通过了《关于使用部分闲置募集资金暂时补充流动资金的议案》，同意公司在保证满足募集资金投资项目建设的资金需求、保证募集资金投资项目正常进行的前提下，使用20,000万元闲置募集资金暂时补充流动资金，使用期限自2015年4月16日起不超过12个月。2016年4月13日，公司已将上述用于补充流动资金的募集资金20,000万元人民币一次性全额归还并存入公司募集资金专项账户。2016年4月25日，公司召开第四届董事会第十九次会议（临时会议）审议通过了《关于使用部分闲置募集资金暂时补充流动资金的议案》，同意公司在保证满足募集资金投资项目建设的资金需求、保证募集资金投资项目正常进行的前提下，使用20,000万元闲置募集资金暂时补充流动资金，使用期限自2016年4月26日起不超过12个月。2017年4月25日，公司已将上述用于补充流动资金的募集资金20,000万元人民币一次性全额归还并存入公司募集资金专项账户。2017年4月26日，公司召开第五届董事会第六次会议审议通过了《关于使用部分闲置募集资金暂时补充流动资金的议案》，同意公司在保证满足募集资金投资项目建设的资金需求、保证募集资金投资项目正常进行的前提下，使用</w:t>
      </w:r>
      <w:r>
        <w:rPr>
          <w:lang w:eastAsia="zh-CN"/>
        </w:rPr>
        <w:lastRenderedPageBreak/>
        <w:t>10,000万元闲置募集资金暂时补充流动资金，使用期限自2017年4月27日起不超过12个月，并于2017年4月27日将暂时闲置的募集资金10,000万元转至招商银行275583632310001账户用于公司生产经营。2018年4月26日，公司已将上述用于补充流动资金的募集资金10,000万元人民币一次性全额归还并存入公司募集资金专项账户。时补充流动资金情况项目实施出现募集不适用资金结余的金额及原因尚未使用的募集资截至2018年12月31日止，本公司具体募集资金的存放情况如下(单位：人民币元)：金用途及去向注：本年度募集资金直接投入募投项目6,039.62万元。募集资金使用及披露中存在的问题或不适用。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武汉电信器件有限公司子公司光电子器件及其他电子器件、通信设备及其他电子设备的技术及产品的研发、开发、制造、销售，相关技术的咨询及技术服务、技术转让。1545680001,277,013,471.82971,590,645.652,038,805,770.91101,196,853.51101,061,830.53阿尔玛伊技术有限公司子公司所有有关电子和光电子产品的研发、工业化和商245,096.68181,132,603.0999,420,836.3242,759,677.01-34,529,286.18-35,317,449.37业化活动，包括贸易活动；所有在电子和光电子产业领域的咨询和技术支持业务报告期内取得和处置子公司的情况□适用√不适用八、公司控制的结构化主体情况□适用√不适用九、公司未来发展的展望公司“十三五”的发展战略为：发展</w:t>
      </w:r>
      <w:r>
        <w:rPr>
          <w:highlight w:val="red"/>
          <w:lang w:eastAsia="zh-CN"/>
        </w:rPr>
        <w:t>光电子核心</w:t>
      </w:r>
      <w:r>
        <w:rPr>
          <w:lang w:eastAsia="zh-CN"/>
        </w:rPr>
        <w:t>技术，持续为客户创造价值。公司将紧紧围绕</w:t>
      </w:r>
      <w:r>
        <w:rPr>
          <w:highlight w:val="red"/>
          <w:lang w:eastAsia="zh-CN"/>
        </w:rPr>
        <w:t>光电子</w:t>
      </w:r>
      <w:r>
        <w:rPr>
          <w:lang w:eastAsia="zh-CN"/>
        </w:rPr>
        <w:t>技术提升这一个中心，利用公司在</w:t>
      </w:r>
      <w:r>
        <w:rPr>
          <w:highlight w:val="red"/>
          <w:lang w:eastAsia="zh-CN"/>
        </w:rPr>
        <w:t>光电子</w:t>
      </w:r>
      <w:r>
        <w:rPr>
          <w:lang w:eastAsia="zh-CN"/>
        </w:rPr>
        <w:t>领域长期积累形成的</w:t>
      </w:r>
      <w:r>
        <w:rPr>
          <w:highlight w:val="red"/>
          <w:lang w:eastAsia="zh-CN"/>
        </w:rPr>
        <w:t>垂直整合</w:t>
      </w:r>
      <w:r>
        <w:rPr>
          <w:lang w:eastAsia="zh-CN"/>
        </w:rPr>
        <w:t>技术优势，聚焦</w:t>
      </w:r>
      <w:r>
        <w:rPr>
          <w:highlight w:val="red"/>
          <w:lang w:eastAsia="zh-CN"/>
        </w:rPr>
        <w:t>光通信</w:t>
      </w:r>
      <w:r>
        <w:rPr>
          <w:lang w:eastAsia="zh-CN"/>
        </w:rPr>
        <w:t>和</w:t>
      </w:r>
      <w:r>
        <w:rPr>
          <w:highlight w:val="red"/>
          <w:lang w:eastAsia="zh-CN"/>
        </w:rPr>
        <w:t>大数据</w:t>
      </w:r>
      <w:r>
        <w:rPr>
          <w:lang w:eastAsia="zh-CN"/>
        </w:rPr>
        <w:t>，为客户提供有竞争力的产品和服务；发展</w:t>
      </w:r>
      <w:r>
        <w:rPr>
          <w:highlight w:val="red"/>
          <w:lang w:eastAsia="zh-CN"/>
        </w:rPr>
        <w:t>物联感知</w:t>
      </w:r>
      <w:r w:rsidRPr="008F39D4">
        <w:rPr>
          <w:lang w:eastAsia="zh-CN"/>
        </w:rPr>
        <w:t>应用</w:t>
      </w:r>
      <w:r>
        <w:rPr>
          <w:lang w:eastAsia="zh-CN"/>
        </w:rPr>
        <w:t>，通过科技手段在环境、安全方面提升社会和谐与进步，创造可持续增长的卓越业绩，为客户创造最大增值服务，为员工搭建最优的发展平台，为股东获取最好回报，达成企业宏伟愿景。2019年，公司总体工作思路是：坚持稳中求进工作总基调，坚持新发展理念，坚定不移抓好技术创新、市场开拓、资本聚力和管理变革，加快产业升级、培育新动能，驰而不息加强党建，全力以赴推动</w:t>
      </w:r>
      <w:r w:rsidRPr="008F39D4">
        <w:rPr>
          <w:lang w:eastAsia="zh-CN"/>
        </w:rPr>
        <w:t>光迅实现更高质量发展。1、强化战略引领，加快建成主导企业。围绕战略投入项目的立项评审、要素投入、效果评估各环</w:t>
      </w:r>
      <w:r>
        <w:rPr>
          <w:lang w:eastAsia="zh-CN"/>
        </w:rPr>
        <w:t>节，进行</w:t>
      </w:r>
      <w:r w:rsidRPr="008F39D4">
        <w:rPr>
          <w:lang w:eastAsia="zh-CN"/>
        </w:rPr>
        <w:t>全方位调整和优化，加强资源的联动调配，</w:t>
      </w:r>
      <w:r>
        <w:rPr>
          <w:lang w:eastAsia="zh-CN"/>
        </w:rPr>
        <w:t>尤其对</w:t>
      </w:r>
      <w:r>
        <w:rPr>
          <w:highlight w:val="red"/>
          <w:lang w:eastAsia="zh-CN"/>
        </w:rPr>
        <w:t>5G</w:t>
      </w:r>
      <w:r>
        <w:rPr>
          <w:lang w:eastAsia="zh-CN"/>
        </w:rPr>
        <w:t>、</w:t>
      </w:r>
      <w:r>
        <w:rPr>
          <w:highlight w:val="red"/>
          <w:lang w:eastAsia="zh-CN"/>
        </w:rPr>
        <w:t>硅光</w:t>
      </w:r>
      <w:r>
        <w:rPr>
          <w:lang w:eastAsia="zh-CN"/>
        </w:rPr>
        <w:t>、</w:t>
      </w:r>
      <w:r>
        <w:rPr>
          <w:highlight w:val="red"/>
          <w:lang w:eastAsia="zh-CN"/>
        </w:rPr>
        <w:t>400G</w:t>
      </w:r>
      <w:r>
        <w:rPr>
          <w:lang w:eastAsia="zh-CN"/>
        </w:rPr>
        <w:t>等重点项目，全力以赴投入资源，同时注重项目过程监控，确保战略投入项目按期落地。2、强</w:t>
      </w:r>
      <w:r w:rsidRPr="008F39D4">
        <w:rPr>
          <w:lang w:eastAsia="zh-CN"/>
        </w:rPr>
        <w:t>化市场布局，加快构建多元结构</w:t>
      </w:r>
      <w:r>
        <w:rPr>
          <w:lang w:eastAsia="zh-CN"/>
        </w:rPr>
        <w:t>。分析</w:t>
      </w:r>
      <w:r>
        <w:rPr>
          <w:highlight w:val="red"/>
          <w:lang w:eastAsia="zh-CN"/>
        </w:rPr>
        <w:t>5G</w:t>
      </w:r>
      <w:r>
        <w:rPr>
          <w:lang w:eastAsia="zh-CN"/>
        </w:rPr>
        <w:t>、</w:t>
      </w:r>
      <w:r>
        <w:rPr>
          <w:highlight w:val="red"/>
          <w:lang w:eastAsia="zh-CN"/>
        </w:rPr>
        <w:t>数通</w:t>
      </w:r>
      <w:r>
        <w:rPr>
          <w:lang w:eastAsia="zh-CN"/>
        </w:rPr>
        <w:t>等热点市场建设周期，加</w:t>
      </w:r>
      <w:r w:rsidRPr="008F39D4">
        <w:rPr>
          <w:lang w:eastAsia="zh-CN"/>
        </w:rPr>
        <w:t>强营销体系建设</w:t>
      </w:r>
      <w:r>
        <w:rPr>
          <w:lang w:eastAsia="zh-CN"/>
        </w:rPr>
        <w:t>，创新运作机制；以稳固份额、提升业绩、提高盈利水平为目标，定期与重点客户开展技术、业务交流，深入了解项目需求、深化客户关系；</w:t>
      </w:r>
      <w:r w:rsidRPr="008F39D4">
        <w:rPr>
          <w:lang w:eastAsia="zh-CN"/>
        </w:rPr>
        <w:t>从国际业务设计、海外渠道</w:t>
      </w:r>
      <w:r>
        <w:rPr>
          <w:lang w:eastAsia="zh-CN"/>
        </w:rPr>
        <w:t>建设、</w:t>
      </w:r>
      <w:r>
        <w:rPr>
          <w:highlight w:val="red"/>
          <w:lang w:eastAsia="zh-CN"/>
        </w:rPr>
        <w:t>LTC</w:t>
      </w:r>
      <w:r>
        <w:rPr>
          <w:lang w:eastAsia="zh-CN"/>
        </w:rPr>
        <w:t>与</w:t>
      </w:r>
      <w:r w:rsidRPr="008F39D4">
        <w:rPr>
          <w:lang w:eastAsia="zh-CN"/>
        </w:rPr>
        <w:t>CRM管理模式等方面着力，深度开发海外市场。3、</w:t>
      </w:r>
      <w:r>
        <w:rPr>
          <w:lang w:eastAsia="zh-CN"/>
        </w:rPr>
        <w:t>强化核心突破，加快迈向产业高端。加快</w:t>
      </w:r>
      <w:r>
        <w:rPr>
          <w:highlight w:val="red"/>
          <w:lang w:eastAsia="zh-CN"/>
        </w:rPr>
        <w:t>高端芯片</w:t>
      </w:r>
      <w:r>
        <w:rPr>
          <w:lang w:eastAsia="zh-CN"/>
        </w:rPr>
        <w:t>商用，突出重点研发项目；加强子公司发展规划，构建创新中心发展大格局，切实发挥</w:t>
      </w:r>
      <w:r w:rsidRPr="008F39D4">
        <w:rPr>
          <w:lang w:eastAsia="zh-CN"/>
        </w:rPr>
        <w:t>国家级平台的创新效能；不断加强异地研发中心管理，将异地研发中心纳入到公司总体经营规划和业务管控范围，严格落实各项管理要求，充分发挥职责功能。4、强化敏捷交付，加快升级产业能力。紧盯市场需求，构建更加灵活的计划模式，建立更多维度、更多层级的产供销沟通机制；进一步规范供应商的选取及管理，将供应渠道的多元化、国产化作为</w:t>
      </w:r>
      <w:r>
        <w:rPr>
          <w:lang w:eastAsia="zh-CN"/>
        </w:rPr>
        <w:lastRenderedPageBreak/>
        <w:t>主要着力点；强化研发新品的可制造性和工艺稳定性，</w:t>
      </w:r>
      <w:r w:rsidRPr="008F39D4">
        <w:rPr>
          <w:lang w:eastAsia="zh-CN"/>
        </w:rPr>
        <w:t>更加关注质量监控指标的变化和趋势，着重降低质量成本损失；稳妥推进二期厂房核心装备的安装、调试，提升资产利用率，</w:t>
      </w:r>
      <w:r>
        <w:rPr>
          <w:lang w:eastAsia="zh-CN"/>
        </w:rPr>
        <w:t>提升</w:t>
      </w:r>
      <w:r w:rsidRPr="008F39D4">
        <w:rPr>
          <w:lang w:eastAsia="zh-CN"/>
        </w:rPr>
        <w:t>对高端装备的维保能力。5、强化管理创新，加快释放变革红利。进一步完善人才管理体系，加快干部队伍的专业化、年轻化；加强专利、标准的分析与布局，提升知识产权保障能力；加强风险防控，做好应对国内、外复杂经营环境的准备；主动防范金融、财务风险，提升财务筹划和保障能力；增强法律意识，加强保密基础管理，完善外派人员管理制度；持续确保信息、设备、人员、周边环境的持续安全。6、强化党的领导，加快提升党建质量。深化落实“三重一大”决策制度，加强对重点领域和关键环节的审计监察，建立健全惩治和预防腐败长效机制；充分发挥群团组织作用，提升员工归属感、幸福感；高</w:t>
      </w:r>
      <w:r>
        <w:rPr>
          <w:lang w:eastAsia="zh-CN"/>
        </w:rPr>
        <w:t>度重视维稳、信访工作，确保公司和谐稳定发展；进一步丰富和完善光迅文化体系，积极扩大公司在国际市场的知名度和美誉度，提升光迅品牌形象。十、接待调研、沟通、采访等活动1、报告期内接待调研、沟通、采访等活动登记表√适用□不适用接待时间接待方式接待对象类型调研的基本情况索引2018年10月25日实地调研机构武汉光迅科技股份有限公司投资者关系活动记录表,编号：[2018]0012018年10月31日实地调研机构武汉光迅科技股份有限公司投资者关系活动记录表,编号：[2018]0022018年11月01日实地调研机构武汉光迅科技股份有限公司投资者关系活动记录表,编号：[2018]003</w:t>
      </w:r>
    </w:p>
    <w:sectPr w:rsidR="00FF1A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4F5C" w14:textId="77777777" w:rsidR="0056566D" w:rsidRDefault="0056566D">
      <w:pPr>
        <w:spacing w:line="240" w:lineRule="auto"/>
      </w:pPr>
      <w:r>
        <w:separator/>
      </w:r>
    </w:p>
  </w:endnote>
  <w:endnote w:type="continuationSeparator" w:id="0">
    <w:p w14:paraId="5C670535" w14:textId="77777777" w:rsidR="0056566D" w:rsidRDefault="00565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94C1" w14:textId="77777777" w:rsidR="0056566D" w:rsidRDefault="0056566D">
      <w:pPr>
        <w:spacing w:after="0"/>
      </w:pPr>
      <w:r>
        <w:separator/>
      </w:r>
    </w:p>
  </w:footnote>
  <w:footnote w:type="continuationSeparator" w:id="0">
    <w:p w14:paraId="279552F0" w14:textId="77777777" w:rsidR="0056566D" w:rsidRDefault="005656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518782">
    <w:abstractNumId w:val="1"/>
  </w:num>
  <w:num w:numId="2" w16cid:durableId="1945382278">
    <w:abstractNumId w:val="4"/>
  </w:num>
  <w:num w:numId="3" w16cid:durableId="1362436008">
    <w:abstractNumId w:val="5"/>
  </w:num>
  <w:num w:numId="4" w16cid:durableId="72554400">
    <w:abstractNumId w:val="2"/>
  </w:num>
  <w:num w:numId="5" w16cid:durableId="765074242">
    <w:abstractNumId w:val="0"/>
  </w:num>
  <w:num w:numId="6" w16cid:durableId="1210529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56566D"/>
    <w:rsid w:val="008F39D4"/>
    <w:rsid w:val="00AA1D8D"/>
    <w:rsid w:val="00B47730"/>
    <w:rsid w:val="00CB0664"/>
    <w:rsid w:val="00F431B9"/>
    <w:rsid w:val="00FC693F"/>
    <w:rsid w:val="00FF1A4C"/>
    <w:rsid w:val="01FF0067"/>
    <w:rsid w:val="02BF15A4"/>
    <w:rsid w:val="034F71B9"/>
    <w:rsid w:val="069A65B0"/>
    <w:rsid w:val="090E0B90"/>
    <w:rsid w:val="0C126BE9"/>
    <w:rsid w:val="0D305579"/>
    <w:rsid w:val="0EF56A7A"/>
    <w:rsid w:val="0EF97BEC"/>
    <w:rsid w:val="0F0C3DC3"/>
    <w:rsid w:val="0F1669F0"/>
    <w:rsid w:val="1125116C"/>
    <w:rsid w:val="12045226"/>
    <w:rsid w:val="12A762DD"/>
    <w:rsid w:val="133C426F"/>
    <w:rsid w:val="13946135"/>
    <w:rsid w:val="15AD0685"/>
    <w:rsid w:val="16571DC8"/>
    <w:rsid w:val="199926F8"/>
    <w:rsid w:val="1BBF7C5E"/>
    <w:rsid w:val="1C6C7C4F"/>
    <w:rsid w:val="1E4C5F8A"/>
    <w:rsid w:val="247955FF"/>
    <w:rsid w:val="252512E3"/>
    <w:rsid w:val="25344F55"/>
    <w:rsid w:val="253B0B07"/>
    <w:rsid w:val="2579278C"/>
    <w:rsid w:val="26143832"/>
    <w:rsid w:val="26FF1A20"/>
    <w:rsid w:val="27C13545"/>
    <w:rsid w:val="29802F8C"/>
    <w:rsid w:val="2A306760"/>
    <w:rsid w:val="2A992557"/>
    <w:rsid w:val="2BA74800"/>
    <w:rsid w:val="2D8C5BE9"/>
    <w:rsid w:val="2F307202"/>
    <w:rsid w:val="315E1E05"/>
    <w:rsid w:val="31C3435E"/>
    <w:rsid w:val="32B51CD1"/>
    <w:rsid w:val="32CA5360"/>
    <w:rsid w:val="337E22EA"/>
    <w:rsid w:val="34C44675"/>
    <w:rsid w:val="36D52B69"/>
    <w:rsid w:val="384412E5"/>
    <w:rsid w:val="38BB5D8F"/>
    <w:rsid w:val="39F23A32"/>
    <w:rsid w:val="3DB57251"/>
    <w:rsid w:val="3E3A7756"/>
    <w:rsid w:val="3E611186"/>
    <w:rsid w:val="3EE54527"/>
    <w:rsid w:val="3F0F0BE2"/>
    <w:rsid w:val="3F424B14"/>
    <w:rsid w:val="3F5B3E28"/>
    <w:rsid w:val="420E561A"/>
    <w:rsid w:val="422449A5"/>
    <w:rsid w:val="43F62371"/>
    <w:rsid w:val="45294080"/>
    <w:rsid w:val="47262F6D"/>
    <w:rsid w:val="48AB197C"/>
    <w:rsid w:val="4A404346"/>
    <w:rsid w:val="4A743FEF"/>
    <w:rsid w:val="4A8E50B1"/>
    <w:rsid w:val="4A9B5A20"/>
    <w:rsid w:val="4B643F6C"/>
    <w:rsid w:val="4DCD4142"/>
    <w:rsid w:val="4E7D7917"/>
    <w:rsid w:val="4F672375"/>
    <w:rsid w:val="53D02297"/>
    <w:rsid w:val="54CA13DC"/>
    <w:rsid w:val="54D019CD"/>
    <w:rsid w:val="55410F72"/>
    <w:rsid w:val="55CC2F32"/>
    <w:rsid w:val="56DE116E"/>
    <w:rsid w:val="57A04676"/>
    <w:rsid w:val="58003366"/>
    <w:rsid w:val="5B0D2022"/>
    <w:rsid w:val="5B7E4CCE"/>
    <w:rsid w:val="5D014707"/>
    <w:rsid w:val="5DB93D9B"/>
    <w:rsid w:val="5E451AD3"/>
    <w:rsid w:val="60BA67A8"/>
    <w:rsid w:val="610619ED"/>
    <w:rsid w:val="68803790"/>
    <w:rsid w:val="69201173"/>
    <w:rsid w:val="6953779A"/>
    <w:rsid w:val="69C96889"/>
    <w:rsid w:val="6D365409"/>
    <w:rsid w:val="6EEB2223"/>
    <w:rsid w:val="6F5C0A2B"/>
    <w:rsid w:val="73A806E2"/>
    <w:rsid w:val="769A6A08"/>
    <w:rsid w:val="76A07D97"/>
    <w:rsid w:val="7AD526A0"/>
    <w:rsid w:val="7CDE5175"/>
    <w:rsid w:val="7D492DAE"/>
    <w:rsid w:val="7D5D0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3D69D2"/>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D691296E48A74D29878AB0A130456B85</vt:lpwstr>
  </property>
</Properties>
</file>