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363BE" w14:textId="77777777" w:rsidR="00EE67BA" w:rsidRDefault="00000000">
      <w:pPr>
        <w:rPr>
          <w:lang w:eastAsia="zh-CN"/>
        </w:rPr>
      </w:pPr>
      <w:r>
        <w:rPr>
          <w:lang w:eastAsia="zh-CN"/>
        </w:rPr>
        <w:t>2009年是</w:t>
      </w:r>
      <w:proofErr w:type="gramStart"/>
      <w:r>
        <w:rPr>
          <w:lang w:eastAsia="zh-CN"/>
        </w:rPr>
        <w:t>永太</w:t>
      </w:r>
      <w:proofErr w:type="gramEnd"/>
      <w:r>
        <w:rPr>
          <w:lang w:eastAsia="zh-CN"/>
        </w:rPr>
        <w:t>科技发展至关重要的一年，也是全体</w:t>
      </w:r>
      <w:proofErr w:type="gramStart"/>
      <w:r>
        <w:rPr>
          <w:lang w:eastAsia="zh-CN"/>
        </w:rPr>
        <w:t>永太</w:t>
      </w:r>
      <w:proofErr w:type="gramEnd"/>
      <w:r>
        <w:rPr>
          <w:lang w:eastAsia="zh-CN"/>
        </w:rPr>
        <w:t>人克难排险实现跨越的一年。在2009年，我们完成了从非上市公司向上市公司的历史性转变，3350万股股票开始在深圳证券交易所挂牌交易；克服2008年金融危机的影响，实现销售收入4.93亿元，利润总额突破7000万；在募集资金到位时间不确定的情况下推进新区建设，为公司未来发展奠定了基础；2009年，公司还引入国际标准的</w:t>
      </w:r>
      <w:r w:rsidRPr="001831F7">
        <w:rPr>
          <w:lang w:eastAsia="zh-CN"/>
        </w:rPr>
        <w:t>EHS（环境、职业健康、安全）管理体系和欧美GMP管理体系，并通过了巴斯夫等多</w:t>
      </w:r>
      <w:r>
        <w:rPr>
          <w:lang w:eastAsia="zh-CN"/>
        </w:rPr>
        <w:t>家国际著名</w:t>
      </w:r>
      <w:r>
        <w:rPr>
          <w:highlight w:val="red"/>
          <w:lang w:eastAsia="zh-CN"/>
        </w:rPr>
        <w:t>医药农药液晶</w:t>
      </w:r>
      <w:r>
        <w:rPr>
          <w:lang w:eastAsia="zh-CN"/>
        </w:rPr>
        <w:t>企业的审计认证；通过了</w:t>
      </w:r>
      <w:proofErr w:type="gramStart"/>
      <w:r>
        <w:rPr>
          <w:lang w:eastAsia="zh-CN"/>
        </w:rPr>
        <w:t>国家发改委</w:t>
      </w:r>
      <w:proofErr w:type="gramEnd"/>
      <w:r>
        <w:rPr>
          <w:lang w:eastAsia="zh-CN"/>
        </w:rPr>
        <w:t>彩电产业战略转型产业化专项审核，成为国家</w:t>
      </w:r>
      <w:r>
        <w:rPr>
          <w:highlight w:val="red"/>
          <w:lang w:eastAsia="zh-CN"/>
        </w:rPr>
        <w:t>彩电</w:t>
      </w:r>
      <w:r>
        <w:rPr>
          <w:lang w:eastAsia="zh-CN"/>
        </w:rPr>
        <w:t>产业战略</w:t>
      </w:r>
      <w:proofErr w:type="gramStart"/>
      <w:r>
        <w:rPr>
          <w:lang w:eastAsia="zh-CN"/>
        </w:rPr>
        <w:t>转型专项</w:t>
      </w:r>
      <w:proofErr w:type="gramEnd"/>
      <w:r>
        <w:rPr>
          <w:lang w:eastAsia="zh-CN"/>
        </w:rPr>
        <w:t>的支撑单位。2008年四季度，发生了百年一遇的金融危机，在危机中董事会当机立断正确决策，2008年末和2009年初，公司通过调整产品结构克服了金融危机带来的不利影响，营业收入和利润同步稳定增长。实现营业收入49,281.11万元，同比增长25.37%，营业利润6,734.51万元，同比增长44.97%，利润总额7,010.40万元，同比增长47.29%，归属于上市公司股东的净利润5,724.29万元，同比增长34.25%。2009年公司收入和利润之所以能够在金融危机影响力不确定的情况下取得稳定的增长，主要是因为利用综合性生产平台，适时调整产品结构。2008年4季度金融危机导致国内外客户都尽量压缩库存，大幅削</w:t>
      </w:r>
      <w:r w:rsidRPr="001831F7">
        <w:rPr>
          <w:lang w:eastAsia="zh-CN"/>
        </w:rPr>
        <w:t>减原材料采购量，公司迅速做出调整产品结构的决定，充分发挥同一起始原材料生产不同种</w:t>
      </w:r>
      <w:r>
        <w:rPr>
          <w:lang w:eastAsia="zh-CN"/>
        </w:rPr>
        <w:t>产品</w:t>
      </w:r>
      <w:r w:rsidRPr="001831F7">
        <w:rPr>
          <w:lang w:eastAsia="zh-CN"/>
        </w:rPr>
        <w:t>的综合性生产平台的优势和</w:t>
      </w:r>
      <w:proofErr w:type="gramStart"/>
      <w:r w:rsidRPr="001831F7">
        <w:rPr>
          <w:lang w:eastAsia="zh-CN"/>
        </w:rPr>
        <w:t>产品链全的</w:t>
      </w:r>
      <w:proofErr w:type="gramEnd"/>
      <w:r>
        <w:rPr>
          <w:lang w:eastAsia="zh-CN"/>
        </w:rPr>
        <w:t>优势，增加受危机影响小的基础</w:t>
      </w:r>
      <w:r>
        <w:rPr>
          <w:highlight w:val="red"/>
          <w:lang w:eastAsia="zh-CN"/>
        </w:rPr>
        <w:t>医药化学品</w:t>
      </w:r>
      <w:r>
        <w:rPr>
          <w:lang w:eastAsia="zh-CN"/>
        </w:rPr>
        <w:t>的产量，适当调整其他产品生产节奏。2009年</w:t>
      </w:r>
      <w:r>
        <w:rPr>
          <w:highlight w:val="red"/>
          <w:lang w:eastAsia="zh-CN"/>
        </w:rPr>
        <w:t>医药化学品</w:t>
      </w:r>
      <w:r>
        <w:rPr>
          <w:lang w:eastAsia="zh-CN"/>
        </w:rPr>
        <w:t>实现销售收入2.83亿元，同比增长了52.76%，从而保证了公司营业收入和盈利的稳步增长。2009年，公司销售市场状况良好，继续保持在原有</w:t>
      </w:r>
      <w:proofErr w:type="gramStart"/>
      <w:r>
        <w:rPr>
          <w:highlight w:val="red"/>
          <w:lang w:eastAsia="zh-CN"/>
        </w:rPr>
        <w:t>喹</w:t>
      </w:r>
      <w:proofErr w:type="gramEnd"/>
      <w:r>
        <w:rPr>
          <w:highlight w:val="red"/>
          <w:lang w:eastAsia="zh-CN"/>
        </w:rPr>
        <w:t>诺酮类抗菌消炎药</w:t>
      </w:r>
      <w:r>
        <w:rPr>
          <w:lang w:eastAsia="zh-CN"/>
        </w:rPr>
        <w:t>、</w:t>
      </w:r>
      <w:r>
        <w:rPr>
          <w:highlight w:val="red"/>
          <w:lang w:eastAsia="zh-CN"/>
        </w:rPr>
        <w:t>液晶化学品</w:t>
      </w:r>
      <w:r>
        <w:rPr>
          <w:lang w:eastAsia="zh-CN"/>
        </w:rPr>
        <w:t>关键中间体市场的优势，积极拓展</w:t>
      </w:r>
      <w:r w:rsidRPr="001831F7">
        <w:rPr>
          <w:lang w:eastAsia="zh-CN"/>
        </w:rPr>
        <w:t>高附加值</w:t>
      </w:r>
      <w:r>
        <w:rPr>
          <w:lang w:eastAsia="zh-CN"/>
        </w:rPr>
        <w:t>的</w:t>
      </w:r>
      <w:r>
        <w:rPr>
          <w:highlight w:val="red"/>
          <w:lang w:eastAsia="zh-CN"/>
        </w:rPr>
        <w:t>糖尿病</w:t>
      </w:r>
      <w:r w:rsidRPr="001831F7">
        <w:rPr>
          <w:lang w:eastAsia="zh-CN"/>
        </w:rPr>
        <w:t>类医药化学品和</w:t>
      </w:r>
      <w:r>
        <w:rPr>
          <w:highlight w:val="red"/>
          <w:lang w:eastAsia="zh-CN"/>
        </w:rPr>
        <w:t>液晶化学品单体</w:t>
      </w:r>
      <w:r>
        <w:rPr>
          <w:lang w:eastAsia="zh-CN"/>
        </w:rPr>
        <w:t>产品市场，并取得了阶段性的进展，</w:t>
      </w:r>
      <w:proofErr w:type="gramStart"/>
      <w:r>
        <w:rPr>
          <w:highlight w:val="red"/>
          <w:lang w:eastAsia="zh-CN"/>
        </w:rPr>
        <w:t>西他列汀</w:t>
      </w:r>
      <w:proofErr w:type="gramEnd"/>
      <w:r>
        <w:rPr>
          <w:highlight w:val="red"/>
          <w:lang w:eastAsia="zh-CN"/>
        </w:rPr>
        <w:t>侧链</w:t>
      </w:r>
      <w:r>
        <w:rPr>
          <w:lang w:eastAsia="zh-CN"/>
        </w:rPr>
        <w:t>产品销售同比增长898%。在新市场开拓方面，稳定原有销售区域，积极开拓欧美新市场，加大印度市场开拓力度，仅印度市场销售收入就同比增长1.5倍。与此同时，公司正在逐步介</w:t>
      </w:r>
      <w:r w:rsidRPr="001831F7">
        <w:rPr>
          <w:lang w:eastAsia="zh-CN"/>
        </w:rPr>
        <w:t>入原料药产品和高级中间体定制加工市场，新产品T1-4已获得客</w:t>
      </w:r>
      <w:r>
        <w:rPr>
          <w:lang w:eastAsia="zh-CN"/>
        </w:rPr>
        <w:t>户认可，实现销售收入261万元。（2）研发投入大幅增长，效果逐渐体现从2007年开始，公司逐步加大研发费用投入，2009年直接投入研发费用1295.20万元，比2008年增长55.47%。目前，公司已经初步建立了</w:t>
      </w:r>
      <w:r>
        <w:rPr>
          <w:highlight w:val="red"/>
          <w:lang w:eastAsia="zh-CN"/>
        </w:rPr>
        <w:t>医药化学品</w:t>
      </w:r>
      <w:r>
        <w:rPr>
          <w:lang w:eastAsia="zh-CN"/>
        </w:rPr>
        <w:t>、</w:t>
      </w:r>
      <w:r>
        <w:rPr>
          <w:highlight w:val="red"/>
          <w:lang w:eastAsia="zh-CN"/>
        </w:rPr>
        <w:t>液晶化学品</w:t>
      </w:r>
      <w:r>
        <w:rPr>
          <w:lang w:eastAsia="zh-CN"/>
        </w:rPr>
        <w:t>、</w:t>
      </w:r>
      <w:r>
        <w:rPr>
          <w:highlight w:val="red"/>
          <w:lang w:eastAsia="zh-CN"/>
        </w:rPr>
        <w:t>农药化学品</w:t>
      </w:r>
      <w:r>
        <w:rPr>
          <w:lang w:eastAsia="zh-CN"/>
        </w:rPr>
        <w:t>和</w:t>
      </w:r>
      <w:r>
        <w:rPr>
          <w:highlight w:val="red"/>
          <w:lang w:eastAsia="zh-CN"/>
        </w:rPr>
        <w:t>其他化学品</w:t>
      </w:r>
      <w:r>
        <w:rPr>
          <w:lang w:eastAsia="zh-CN"/>
        </w:rPr>
        <w:t>独立的研发体系，并在此基础上逐步推进</w:t>
      </w:r>
      <w:r>
        <w:rPr>
          <w:highlight w:val="red"/>
          <w:lang w:eastAsia="zh-CN"/>
        </w:rPr>
        <w:t>医药原料药</w:t>
      </w:r>
      <w:r>
        <w:rPr>
          <w:lang w:eastAsia="zh-CN"/>
        </w:rPr>
        <w:t>、</w:t>
      </w:r>
      <w:r>
        <w:rPr>
          <w:highlight w:val="red"/>
          <w:lang w:eastAsia="zh-CN"/>
        </w:rPr>
        <w:t>液晶单体</w:t>
      </w:r>
      <w:r>
        <w:rPr>
          <w:lang w:eastAsia="zh-CN"/>
        </w:rPr>
        <w:t>和</w:t>
      </w:r>
      <w:r>
        <w:rPr>
          <w:highlight w:val="red"/>
          <w:lang w:eastAsia="zh-CN"/>
        </w:rPr>
        <w:t>农药原药</w:t>
      </w:r>
      <w:r>
        <w:rPr>
          <w:lang w:eastAsia="zh-CN"/>
        </w:rPr>
        <w:t>的研发工作。2009年，公司完成了55项新产品小试，14项产品的中试工作，15项老产品</w:t>
      </w:r>
      <w:r>
        <w:rPr>
          <w:highlight w:val="red"/>
          <w:lang w:eastAsia="zh-CN"/>
        </w:rPr>
        <w:t>工艺路线</w:t>
      </w:r>
      <w:r>
        <w:rPr>
          <w:lang w:eastAsia="zh-CN"/>
        </w:rPr>
        <w:t>改造，新申请专利5项，公开2项专利，获得专利授权2项。同年2月，公司通过了浙江省科技厅“2009年工业转型升级暨第二批重大科技专项——</w:t>
      </w:r>
      <w:r w:rsidRPr="001831F7">
        <w:rPr>
          <w:lang w:eastAsia="zh-CN"/>
        </w:rPr>
        <w:t>TFT-LCD</w:t>
      </w:r>
      <w:r>
        <w:rPr>
          <w:highlight w:val="red"/>
          <w:lang w:eastAsia="zh-CN"/>
        </w:rPr>
        <w:t>液晶显示材料</w:t>
      </w:r>
      <w:r>
        <w:rPr>
          <w:lang w:eastAsia="zh-CN"/>
        </w:rPr>
        <w:t>的关键</w:t>
      </w:r>
      <w:r>
        <w:rPr>
          <w:highlight w:val="red"/>
          <w:lang w:eastAsia="zh-CN"/>
        </w:rPr>
        <w:t>中间体中试</w:t>
      </w:r>
      <w:r>
        <w:rPr>
          <w:lang w:eastAsia="zh-CN"/>
        </w:rPr>
        <w:t>及</w:t>
      </w:r>
      <w:r w:rsidRPr="001831F7">
        <w:rPr>
          <w:lang w:eastAsia="zh-CN"/>
        </w:rPr>
        <w:t>产业化项目验收”</w:t>
      </w:r>
      <w:r>
        <w:rPr>
          <w:lang w:eastAsia="zh-CN"/>
        </w:rPr>
        <w:t>；8月</w:t>
      </w:r>
      <w:r>
        <w:rPr>
          <w:highlight w:val="red"/>
          <w:lang w:eastAsia="zh-CN"/>
        </w:rPr>
        <w:t>TFT-LCD液晶系列</w:t>
      </w:r>
      <w:r>
        <w:rPr>
          <w:lang w:eastAsia="zh-CN"/>
        </w:rPr>
        <w:t>高技术</w:t>
      </w:r>
      <w:r w:rsidRPr="001831F7">
        <w:rPr>
          <w:lang w:eastAsia="zh-CN"/>
        </w:rPr>
        <w:t>产业化</w:t>
      </w:r>
      <w:r>
        <w:rPr>
          <w:lang w:eastAsia="zh-CN"/>
        </w:rPr>
        <w:t>技术改造项目被浙江省经济和信息化委员会列入省级重点</w:t>
      </w:r>
      <w:proofErr w:type="gramStart"/>
      <w:r>
        <w:rPr>
          <w:lang w:eastAsia="zh-CN"/>
        </w:rPr>
        <w:t>技改双</w:t>
      </w:r>
      <w:proofErr w:type="gramEnd"/>
      <w:r>
        <w:rPr>
          <w:lang w:eastAsia="zh-CN"/>
        </w:rPr>
        <w:t>千工程项目；10月，</w:t>
      </w:r>
      <w:r>
        <w:rPr>
          <w:highlight w:val="red"/>
          <w:lang w:eastAsia="zh-CN"/>
        </w:rPr>
        <w:t>TFT-LCD混合液晶</w:t>
      </w:r>
      <w:r>
        <w:rPr>
          <w:lang w:eastAsia="zh-CN"/>
        </w:rPr>
        <w:t>用</w:t>
      </w:r>
      <w:r>
        <w:rPr>
          <w:highlight w:val="red"/>
          <w:lang w:eastAsia="zh-CN"/>
        </w:rPr>
        <w:t>单体液晶</w:t>
      </w:r>
      <w:r>
        <w:rPr>
          <w:lang w:eastAsia="zh-CN"/>
        </w:rPr>
        <w:t>和</w:t>
      </w:r>
      <w:r>
        <w:rPr>
          <w:highlight w:val="red"/>
          <w:lang w:eastAsia="zh-CN"/>
        </w:rPr>
        <w:t>中间体产业化</w:t>
      </w:r>
      <w:r>
        <w:rPr>
          <w:lang w:eastAsia="zh-CN"/>
        </w:rPr>
        <w:t>项目被</w:t>
      </w:r>
      <w:proofErr w:type="gramStart"/>
      <w:r>
        <w:rPr>
          <w:lang w:eastAsia="zh-CN"/>
        </w:rPr>
        <w:t>国家发改委</w:t>
      </w:r>
      <w:proofErr w:type="gramEnd"/>
      <w:r>
        <w:rPr>
          <w:lang w:eastAsia="zh-CN"/>
        </w:rPr>
        <w:t>列入</w:t>
      </w:r>
      <w:r>
        <w:rPr>
          <w:highlight w:val="red"/>
          <w:lang w:eastAsia="zh-CN"/>
        </w:rPr>
        <w:t>彩电</w:t>
      </w:r>
      <w:r>
        <w:rPr>
          <w:lang w:eastAsia="zh-CN"/>
        </w:rPr>
        <w:t>产业战略转型产业化专项。11月，对</w:t>
      </w:r>
      <w:r>
        <w:rPr>
          <w:highlight w:val="red"/>
          <w:lang w:eastAsia="zh-CN"/>
        </w:rPr>
        <w:t>氟</w:t>
      </w:r>
      <w:proofErr w:type="gramStart"/>
      <w:r>
        <w:rPr>
          <w:highlight w:val="red"/>
          <w:lang w:eastAsia="zh-CN"/>
        </w:rPr>
        <w:t>苄</w:t>
      </w:r>
      <w:proofErr w:type="gramEnd"/>
      <w:r>
        <w:rPr>
          <w:highlight w:val="red"/>
          <w:lang w:eastAsia="zh-CN"/>
        </w:rPr>
        <w:t>胺</w:t>
      </w:r>
      <w:r>
        <w:rPr>
          <w:lang w:eastAsia="zh-CN"/>
        </w:rPr>
        <w:t>、</w:t>
      </w:r>
      <w:r>
        <w:rPr>
          <w:highlight w:val="red"/>
          <w:lang w:eastAsia="zh-CN"/>
        </w:rPr>
        <w:t>DL-苯基丙酸</w:t>
      </w:r>
      <w:r>
        <w:rPr>
          <w:lang w:eastAsia="zh-CN"/>
        </w:rPr>
        <w:t>、</w:t>
      </w:r>
      <w:r>
        <w:rPr>
          <w:highlight w:val="red"/>
          <w:lang w:eastAsia="zh-CN"/>
        </w:rPr>
        <w:t>2-氟-4-氰基苯酚</w:t>
      </w:r>
      <w:r w:rsidRPr="001831F7">
        <w:rPr>
          <w:lang w:eastAsia="zh-CN"/>
        </w:rPr>
        <w:t>、3,5</w:t>
      </w:r>
      <w:proofErr w:type="gramStart"/>
      <w:r>
        <w:rPr>
          <w:highlight w:val="red"/>
          <w:lang w:eastAsia="zh-CN"/>
        </w:rPr>
        <w:t>二</w:t>
      </w:r>
      <w:proofErr w:type="gramEnd"/>
      <w:r>
        <w:rPr>
          <w:highlight w:val="red"/>
          <w:lang w:eastAsia="zh-CN"/>
        </w:rPr>
        <w:t>氟</w:t>
      </w:r>
      <w:r w:rsidRPr="001831F7">
        <w:rPr>
          <w:lang w:eastAsia="zh-CN"/>
        </w:rPr>
        <w:t>-4-</w:t>
      </w:r>
      <w:r>
        <w:rPr>
          <w:lang w:eastAsia="zh-CN"/>
        </w:rPr>
        <w:t>（</w:t>
      </w:r>
      <w:r w:rsidRPr="001831F7">
        <w:rPr>
          <w:lang w:eastAsia="zh-CN"/>
        </w:rPr>
        <w:t>2,2,2-</w:t>
      </w:r>
      <w:r>
        <w:rPr>
          <w:highlight w:val="red"/>
          <w:lang w:eastAsia="zh-CN"/>
        </w:rPr>
        <w:t>三氟乙氧基</w:t>
      </w:r>
      <w:r>
        <w:rPr>
          <w:lang w:eastAsia="zh-CN"/>
        </w:rPr>
        <w:t>）</w:t>
      </w:r>
      <w:r>
        <w:rPr>
          <w:highlight w:val="red"/>
          <w:lang w:eastAsia="zh-CN"/>
        </w:rPr>
        <w:t>溴苯</w:t>
      </w:r>
      <w:r>
        <w:rPr>
          <w:lang w:eastAsia="zh-CN"/>
        </w:rPr>
        <w:t>，四个项目被浙江省经济和信息化委员会列入省级工业新产品开发项目。（3）生产</w:t>
      </w:r>
      <w:r w:rsidRPr="001831F7">
        <w:rPr>
          <w:lang w:eastAsia="zh-CN"/>
        </w:rPr>
        <w:t>自动化程度提高，提升生产管理水平公司在未增加新产能的基础上，通过现有设备的改造，实现产量同</w:t>
      </w:r>
      <w:r>
        <w:rPr>
          <w:lang w:eastAsia="zh-CN"/>
        </w:rPr>
        <w:t>比增长30%。2009年，公司完成40个</w:t>
      </w:r>
      <w:r>
        <w:rPr>
          <w:highlight w:val="red"/>
          <w:lang w:eastAsia="zh-CN"/>
        </w:rPr>
        <w:t>原材料</w:t>
      </w:r>
      <w:r>
        <w:rPr>
          <w:lang w:eastAsia="zh-CN"/>
        </w:rPr>
        <w:t>存放储罐建造和2500</w:t>
      </w:r>
      <w:r w:rsidRPr="001831F7">
        <w:rPr>
          <w:lang w:eastAsia="zh-CN"/>
        </w:rPr>
        <w:t>米管道输送改造，大大提高了产品生产的自动化、管道化程度，加强了生产的密闭性，提高了整体生产的效率</w:t>
      </w:r>
      <w:r>
        <w:rPr>
          <w:lang w:eastAsia="zh-CN"/>
        </w:rPr>
        <w:t>。完成原有</w:t>
      </w:r>
      <w:r>
        <w:rPr>
          <w:highlight w:val="red"/>
          <w:lang w:eastAsia="zh-CN"/>
        </w:rPr>
        <w:t>氟化设备</w:t>
      </w:r>
      <w:r>
        <w:rPr>
          <w:lang w:eastAsia="zh-CN"/>
        </w:rPr>
        <w:t>的改造，提高了</w:t>
      </w:r>
      <w:r>
        <w:rPr>
          <w:highlight w:val="red"/>
          <w:lang w:eastAsia="zh-CN"/>
        </w:rPr>
        <w:t>氟化</w:t>
      </w:r>
      <w:r w:rsidRPr="001831F7">
        <w:rPr>
          <w:lang w:eastAsia="zh-CN"/>
        </w:rPr>
        <w:t>反应效率，增加了生产的安全性。（4）引</w:t>
      </w:r>
      <w:r>
        <w:rPr>
          <w:lang w:eastAsia="zh-CN"/>
        </w:rPr>
        <w:t>入先进</w:t>
      </w:r>
      <w:r w:rsidRPr="001831F7">
        <w:rPr>
          <w:lang w:eastAsia="zh-CN"/>
        </w:rPr>
        <w:t>管理体</w:t>
      </w:r>
      <w:r w:rsidRPr="001831F7">
        <w:rPr>
          <w:lang w:eastAsia="zh-CN"/>
        </w:rPr>
        <w:lastRenderedPageBreak/>
        <w:t>系，质量控制能力稳步提升2009年初，聘请上海新科咨询公司，帮助公司建立并完善EHS和欧美GMP管理体系，通过半年努力公司各个部门逐渐接受并转变原有管理方式。截止年末，公司已经顺利通过了德国巴斯夫等企业的EHS和GMP审计。2009年9月，公司通过了华夏认证中心有限公司对企业的职业健康安全管理体系认证，公司职业健康管理迈上新台阶。（5）股票挂牌上市，公司迈入发展高速路经过三年的充分准备与努力，2009年9月30日公司通过中国证监会发审会的审核，同年，12月22日完成了3350万股票的发行上市工作，获得募集资金6.2亿，比</w:t>
      </w:r>
      <w:proofErr w:type="gramStart"/>
      <w:r w:rsidRPr="001831F7">
        <w:rPr>
          <w:lang w:eastAsia="zh-CN"/>
        </w:rPr>
        <w:t>募投项目</w:t>
      </w:r>
      <w:proofErr w:type="gramEnd"/>
      <w:r w:rsidRPr="001831F7">
        <w:rPr>
          <w:lang w:eastAsia="zh-CN"/>
        </w:rPr>
        <w:t>预算资金超过了104.62%，至此，公司上市工作圆满完成。上市募集资金的到位为今后两年公司高速成长创建了稳固的财务基础。（6）新区建设有序进行，奠定未来增长的基础经过2009年第一次临时股东大会批准，公司于2009年初开始利用银行长期项目贷款和自有资金</w:t>
      </w:r>
      <w:proofErr w:type="gramStart"/>
      <w:r w:rsidRPr="001831F7">
        <w:rPr>
          <w:lang w:eastAsia="zh-CN"/>
        </w:rPr>
        <w:t>建设募投项目</w:t>
      </w:r>
      <w:proofErr w:type="gramEnd"/>
      <w:r w:rsidRPr="001831F7">
        <w:rPr>
          <w:lang w:eastAsia="zh-CN"/>
        </w:rPr>
        <w:t>。</w:t>
      </w:r>
      <w:r>
        <w:rPr>
          <w:lang w:eastAsia="zh-CN"/>
        </w:rPr>
        <w:t>截止报告期末，公司已经投入7360.60万元，完成了</w:t>
      </w:r>
      <w:r w:rsidRPr="001831F7">
        <w:rPr>
          <w:lang w:eastAsia="zh-CN"/>
        </w:rPr>
        <w:t>两个生产车间、公用工程楼、危险品仓库、加氢车间、制氢车间、部分环保工程的土建工作。（一</w:t>
      </w:r>
      <w:r>
        <w:rPr>
          <w:lang w:eastAsia="zh-CN"/>
        </w:rPr>
        <w:t>）面临的挑战和竞争1、虽然2009年公司已经完全消化解决了金融危机的影响，但是未来国际国内的宏观经济形势还是存在着诸多不稳定性因素，尤其是人民币的不断升值可能会对公司产品出口的迅速增长趋势造成一定影响。2、国内市场存在众多中小企业都在参与市场竞争，有可能在一定时期造成市场混乱；同时，印度</w:t>
      </w:r>
      <w:r>
        <w:rPr>
          <w:highlight w:val="red"/>
          <w:lang w:eastAsia="zh-CN"/>
        </w:rPr>
        <w:t>医药原料药</w:t>
      </w:r>
      <w:r>
        <w:rPr>
          <w:lang w:eastAsia="zh-CN"/>
        </w:rPr>
        <w:t>生产企业的竞争力在不断增强，使得国际竞争在不断加剧；客户对供应商</w:t>
      </w:r>
      <w:r w:rsidRPr="001831F7">
        <w:rPr>
          <w:lang w:eastAsia="zh-CN"/>
        </w:rPr>
        <w:t>EHS、GMP的要求越来</w:t>
      </w:r>
      <w:r>
        <w:rPr>
          <w:lang w:eastAsia="zh-CN"/>
        </w:rPr>
        <w:t>越高，有可能会增加公司产品的成本，降低公司的整体盈利能力。（二）未来发展的机遇1、上市已经基本解决了因为发展资金不足而给公司快速成长造成的限制。2、下游市场的超速增长，保证了公司未来的持续稳定增长。</w:t>
      </w:r>
      <w:r>
        <w:rPr>
          <w:highlight w:val="red"/>
          <w:lang w:eastAsia="zh-CN"/>
        </w:rPr>
        <w:t>平板显示用液晶</w:t>
      </w:r>
      <w:r>
        <w:rPr>
          <w:lang w:eastAsia="zh-CN"/>
        </w:rPr>
        <w:t>产业的发展已经远远落后于国内</w:t>
      </w:r>
      <w:r>
        <w:rPr>
          <w:highlight w:val="red"/>
          <w:lang w:eastAsia="zh-CN"/>
        </w:rPr>
        <w:t>彩色电视机</w:t>
      </w:r>
      <w:r>
        <w:rPr>
          <w:lang w:eastAsia="zh-CN"/>
        </w:rPr>
        <w:t>产品的更新换代发展速度，目前，国内正在大规模兴建6条</w:t>
      </w:r>
      <w:r w:rsidRPr="001831F7">
        <w:rPr>
          <w:lang w:eastAsia="zh-CN"/>
        </w:rPr>
        <w:t>以上高世代</w:t>
      </w:r>
      <w:r>
        <w:rPr>
          <w:highlight w:val="red"/>
          <w:lang w:eastAsia="zh-CN"/>
        </w:rPr>
        <w:t>液晶面板生产线</w:t>
      </w:r>
      <w:r>
        <w:rPr>
          <w:lang w:eastAsia="zh-CN"/>
        </w:rPr>
        <w:t>，国内</w:t>
      </w:r>
      <w:r>
        <w:rPr>
          <w:highlight w:val="red"/>
          <w:lang w:eastAsia="zh-CN"/>
        </w:rPr>
        <w:t>液晶材料</w:t>
      </w:r>
      <w:r>
        <w:rPr>
          <w:lang w:eastAsia="zh-CN"/>
        </w:rPr>
        <w:t>市场前景广阔。3、基于成本压力，以及国内供应厂商生产管理水平的迅速提升，国外大客户在加速将核心中间体产品向国内转移。（三）2010年的工作计划和实现思路2010年公司将在现有生产条件的基础上，保持销售收入的稳定增长，公司将依靠已经与客户建立的稳固合作关系，大力发展定制加工产品，继续深化拓宽</w:t>
      </w:r>
      <w:r>
        <w:rPr>
          <w:highlight w:val="red"/>
          <w:lang w:eastAsia="zh-CN"/>
        </w:rPr>
        <w:t>液晶化学品</w:t>
      </w:r>
      <w:r>
        <w:rPr>
          <w:lang w:eastAsia="zh-CN"/>
        </w:rPr>
        <w:t>的下游产品，开拓</w:t>
      </w:r>
      <w:r>
        <w:rPr>
          <w:highlight w:val="red"/>
          <w:lang w:eastAsia="zh-CN"/>
        </w:rPr>
        <w:t>平板显示</w:t>
      </w:r>
      <w:r>
        <w:rPr>
          <w:lang w:eastAsia="zh-CN"/>
        </w:rPr>
        <w:t>用</w:t>
      </w:r>
      <w:r>
        <w:rPr>
          <w:highlight w:val="red"/>
          <w:lang w:eastAsia="zh-CN"/>
        </w:rPr>
        <w:t>电子化学品</w:t>
      </w:r>
      <w:r>
        <w:rPr>
          <w:lang w:eastAsia="zh-CN"/>
        </w:rPr>
        <w:t>市场。公司还将加快</w:t>
      </w:r>
      <w:proofErr w:type="gramStart"/>
      <w:r w:rsidRPr="001831F7">
        <w:rPr>
          <w:lang w:eastAsia="zh-CN"/>
        </w:rPr>
        <w:t>募投项目</w:t>
      </w:r>
      <w:proofErr w:type="gramEnd"/>
      <w:r>
        <w:rPr>
          <w:lang w:eastAsia="zh-CN"/>
        </w:rPr>
        <w:t>的建设，争取在2010年12月完成全部新区土建工程，并加快已建成车间的设备安装调试，争取9月底前完成试生产。公司将继续加大研发投入，计划在北京或者其它中心城市建立产品研发平台，进一步完善现有含</w:t>
      </w:r>
      <w:r>
        <w:rPr>
          <w:highlight w:val="red"/>
          <w:lang w:eastAsia="zh-CN"/>
        </w:rPr>
        <w:t>氟苯</w:t>
      </w:r>
      <w:r>
        <w:rPr>
          <w:lang w:eastAsia="zh-CN"/>
        </w:rPr>
        <w:t>产品体系，争取在</w:t>
      </w:r>
      <w:r>
        <w:rPr>
          <w:highlight w:val="red"/>
          <w:lang w:eastAsia="zh-CN"/>
        </w:rPr>
        <w:t>四氟</w:t>
      </w:r>
      <w:r w:rsidRPr="001831F7">
        <w:rPr>
          <w:lang w:eastAsia="zh-CN"/>
        </w:rPr>
        <w:t>系列产</w:t>
      </w:r>
      <w:r>
        <w:rPr>
          <w:lang w:eastAsia="zh-CN"/>
        </w:rPr>
        <w:t>品、</w:t>
      </w:r>
      <w:r>
        <w:rPr>
          <w:highlight w:val="red"/>
          <w:lang w:eastAsia="zh-CN"/>
        </w:rPr>
        <w:t>吡啶类含氟化学品</w:t>
      </w:r>
      <w:r>
        <w:rPr>
          <w:lang w:eastAsia="zh-CN"/>
        </w:rPr>
        <w:t>和</w:t>
      </w:r>
      <w:r>
        <w:rPr>
          <w:highlight w:val="red"/>
          <w:lang w:eastAsia="zh-CN"/>
        </w:rPr>
        <w:t>三氟甲基</w:t>
      </w:r>
      <w:r w:rsidRPr="001831F7">
        <w:rPr>
          <w:lang w:eastAsia="zh-CN"/>
        </w:rPr>
        <w:t>系列化学品进行</w:t>
      </w:r>
      <w:r>
        <w:rPr>
          <w:lang w:eastAsia="zh-CN"/>
        </w:rPr>
        <w:t>突破。</w:t>
      </w:r>
    </w:p>
    <w:sectPr w:rsidR="00EE67B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A9AF6" w14:textId="77777777" w:rsidR="001D30D1" w:rsidRDefault="001D30D1">
      <w:pPr>
        <w:spacing w:line="240" w:lineRule="auto"/>
      </w:pPr>
      <w:r>
        <w:separator/>
      </w:r>
    </w:p>
  </w:endnote>
  <w:endnote w:type="continuationSeparator" w:id="0">
    <w:p w14:paraId="7027A24A" w14:textId="77777777" w:rsidR="001D30D1" w:rsidRDefault="001D3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9AE9A" w14:textId="77777777" w:rsidR="001D30D1" w:rsidRDefault="001D30D1">
      <w:pPr>
        <w:spacing w:after="0"/>
      </w:pPr>
      <w:r>
        <w:separator/>
      </w:r>
    </w:p>
  </w:footnote>
  <w:footnote w:type="continuationSeparator" w:id="0">
    <w:p w14:paraId="70718285" w14:textId="77777777" w:rsidR="001D30D1" w:rsidRDefault="001D30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49309086">
    <w:abstractNumId w:val="1"/>
  </w:num>
  <w:num w:numId="2" w16cid:durableId="238487603">
    <w:abstractNumId w:val="4"/>
  </w:num>
  <w:num w:numId="3" w16cid:durableId="50734139">
    <w:abstractNumId w:val="5"/>
  </w:num>
  <w:num w:numId="4" w16cid:durableId="1549490170">
    <w:abstractNumId w:val="2"/>
  </w:num>
  <w:num w:numId="5" w16cid:durableId="2115443014">
    <w:abstractNumId w:val="0"/>
  </w:num>
  <w:num w:numId="6" w16cid:durableId="961881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1831F7"/>
    <w:rsid w:val="001D30D1"/>
    <w:rsid w:val="0029639D"/>
    <w:rsid w:val="00326F90"/>
    <w:rsid w:val="00AA1D8D"/>
    <w:rsid w:val="00B47730"/>
    <w:rsid w:val="00CB0664"/>
    <w:rsid w:val="00EE67BA"/>
    <w:rsid w:val="00FC693F"/>
    <w:rsid w:val="44274A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252FF"/>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A47C9C04C1CC4A92A49834CB31DCE390</vt:lpwstr>
  </property>
</Properties>
</file>