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4E913" w14:textId="77777777" w:rsidR="00577349" w:rsidRDefault="00000000">
      <w:pPr>
        <w:rPr>
          <w:lang w:eastAsia="zh-CN"/>
        </w:rPr>
      </w:pPr>
      <w:r>
        <w:rPr>
          <w:lang w:eastAsia="zh-CN"/>
        </w:rPr>
        <w:t>一、概述2017年，宏观经济整体基本企稳。但进入下半年，</w:t>
      </w:r>
      <w:r>
        <w:rPr>
          <w:highlight w:val="red"/>
          <w:lang w:eastAsia="zh-CN"/>
        </w:rPr>
        <w:t>电子</w:t>
      </w:r>
      <w:r>
        <w:rPr>
          <w:lang w:eastAsia="zh-CN"/>
        </w:rPr>
        <w:t>产品市场逐渐进入瓶颈期，终端需求出现萎缩，以</w:t>
      </w:r>
      <w:proofErr w:type="spellStart"/>
      <w:r>
        <w:rPr>
          <w:highlight w:val="red"/>
          <w:lang w:eastAsia="zh-CN"/>
        </w:rPr>
        <w:t>IPhoneX</w:t>
      </w:r>
      <w:proofErr w:type="spellEnd"/>
      <w:r>
        <w:rPr>
          <w:lang w:eastAsia="zh-CN"/>
        </w:rPr>
        <w:t>为代表的新技术、新产品并未被市场普遍接受，销售量不达预期。因此，公司所处的</w:t>
      </w:r>
      <w:r>
        <w:rPr>
          <w:highlight w:val="red"/>
          <w:lang w:eastAsia="zh-CN"/>
        </w:rPr>
        <w:t>电子信息制造</w:t>
      </w:r>
      <w:r>
        <w:rPr>
          <w:lang w:eastAsia="zh-CN"/>
        </w:rPr>
        <w:t>行业，尤其</w:t>
      </w:r>
      <w:r>
        <w:rPr>
          <w:highlight w:val="red"/>
          <w:lang w:eastAsia="zh-CN"/>
        </w:rPr>
        <w:t>消费电子</w:t>
      </w:r>
      <w:r>
        <w:rPr>
          <w:lang w:eastAsia="zh-CN"/>
        </w:rPr>
        <w:t>产业呈现出前高后低的走势。同时，由于去杠杆的影响，行业整体资金面仍然偏紧、企业资产负债结构无法改善，行业的不确定性仍然较大。在此环境下，公司管理层继续坚持了“</w:t>
      </w:r>
      <w:r>
        <w:rPr>
          <w:highlight w:val="red"/>
          <w:lang w:eastAsia="zh-CN"/>
        </w:rPr>
        <w:t>电子制程</w:t>
      </w:r>
      <w:r>
        <w:rPr>
          <w:lang w:eastAsia="zh-CN"/>
        </w:rPr>
        <w:t>服务+</w:t>
      </w:r>
      <w:r>
        <w:rPr>
          <w:highlight w:val="red"/>
          <w:lang w:eastAsia="zh-CN"/>
        </w:rPr>
        <w:t>制程</w:t>
      </w:r>
      <w:r>
        <w:rPr>
          <w:lang w:eastAsia="zh-CN"/>
        </w:rPr>
        <w:t>产品+</w:t>
      </w:r>
      <w:r>
        <w:rPr>
          <w:highlight w:val="red"/>
          <w:lang w:eastAsia="zh-CN"/>
        </w:rPr>
        <w:t>产业配套</w:t>
      </w:r>
      <w:r>
        <w:rPr>
          <w:lang w:eastAsia="zh-CN"/>
        </w:rPr>
        <w:t>服务”的发展思路，围绕核心大客户，不断优化公司的业务结构和产品结构、加大</w:t>
      </w:r>
      <w:r>
        <w:rPr>
          <w:highlight w:val="red"/>
          <w:lang w:eastAsia="zh-CN"/>
        </w:rPr>
        <w:t>产业配套</w:t>
      </w:r>
      <w:r>
        <w:rPr>
          <w:lang w:eastAsia="zh-CN"/>
        </w:rPr>
        <w:t>服务的投入规模和自主产品的市场推广力度、并不断加强公司的运营管理效率和费用管控能力，</w:t>
      </w:r>
      <w:proofErr w:type="gramStart"/>
      <w:r>
        <w:rPr>
          <w:lang w:eastAsia="zh-CN"/>
        </w:rPr>
        <w:t>仍助公司</w:t>
      </w:r>
      <w:proofErr w:type="gramEnd"/>
      <w:r>
        <w:rPr>
          <w:lang w:eastAsia="zh-CN"/>
        </w:rPr>
        <w:t>取得了良好的业绩回报。其中，截至2017年末，公司实现营业收入812,610,818.20元，较上年基本持平；实现营业利润43,896,296.80元，较上年增长280.88%；归属于上市公司股东的净利润64,962,148.77元，较上年增长496.51%。回顾2017年工作，公司主要在以下方面做出了不懈的努力并取得一定成效：（一）加大自主产品的市场推广，优化公司产品结构公司进一步加大对核心</w:t>
      </w:r>
      <w:proofErr w:type="gramStart"/>
      <w:r>
        <w:rPr>
          <w:lang w:eastAsia="zh-CN"/>
        </w:rPr>
        <w:t>制程产品</w:t>
      </w:r>
      <w:proofErr w:type="gramEnd"/>
      <w:r>
        <w:rPr>
          <w:lang w:eastAsia="zh-CN"/>
        </w:rPr>
        <w:t>的市场推广力度，提高公司自主研发产品在销售</w:t>
      </w:r>
      <w:proofErr w:type="gramStart"/>
      <w:r>
        <w:rPr>
          <w:lang w:eastAsia="zh-CN"/>
        </w:rPr>
        <w:t>售</w:t>
      </w:r>
      <w:proofErr w:type="gramEnd"/>
      <w:r>
        <w:rPr>
          <w:lang w:eastAsia="zh-CN"/>
        </w:rPr>
        <w:t>中的占比，改善公司产品结构，提高公司整体产品毛利率，加强公司对</w:t>
      </w:r>
      <w:proofErr w:type="gramStart"/>
      <w:r>
        <w:rPr>
          <w:highlight w:val="red"/>
          <w:lang w:eastAsia="zh-CN"/>
        </w:rPr>
        <w:t>制程</w:t>
      </w:r>
      <w:r>
        <w:rPr>
          <w:lang w:eastAsia="zh-CN"/>
        </w:rPr>
        <w:t>产品</w:t>
      </w:r>
      <w:proofErr w:type="gramEnd"/>
      <w:r>
        <w:rPr>
          <w:lang w:eastAsia="zh-CN"/>
        </w:rPr>
        <w:t>的</w:t>
      </w:r>
      <w:r>
        <w:rPr>
          <w:highlight w:val="red"/>
          <w:lang w:eastAsia="zh-CN"/>
        </w:rPr>
        <w:t>市场定价</w:t>
      </w:r>
      <w:r>
        <w:rPr>
          <w:lang w:eastAsia="zh-CN"/>
        </w:rPr>
        <w:t>能力和</w:t>
      </w:r>
      <w:r>
        <w:rPr>
          <w:highlight w:val="red"/>
          <w:lang w:eastAsia="zh-CN"/>
        </w:rPr>
        <w:t>下游议价</w:t>
      </w:r>
      <w:r>
        <w:rPr>
          <w:lang w:eastAsia="zh-CN"/>
        </w:rPr>
        <w:t>能力。（二）加强与国内外品牌的深度合作，确保</w:t>
      </w:r>
      <w:proofErr w:type="gramStart"/>
      <w:r>
        <w:rPr>
          <w:highlight w:val="red"/>
          <w:lang w:eastAsia="zh-CN"/>
        </w:rPr>
        <w:t>制程</w:t>
      </w:r>
      <w:r>
        <w:rPr>
          <w:lang w:eastAsia="zh-CN"/>
        </w:rPr>
        <w:t>产品</w:t>
      </w:r>
      <w:proofErr w:type="gramEnd"/>
      <w:r>
        <w:rPr>
          <w:lang w:eastAsia="zh-CN"/>
        </w:rPr>
        <w:t>线的领先公司保持与国内外知名品牌如</w:t>
      </w:r>
      <w:r w:rsidRPr="000D06C0">
        <w:rPr>
          <w:lang w:eastAsia="zh-CN"/>
        </w:rPr>
        <w:t>安捷伦、史丹利、迈图、东亚合成、美能达等公司在</w:t>
      </w:r>
      <w:proofErr w:type="gramStart"/>
      <w:r w:rsidRPr="000D06C0">
        <w:rPr>
          <w:lang w:eastAsia="zh-CN"/>
        </w:rPr>
        <w:t>制程产品</w:t>
      </w:r>
      <w:proofErr w:type="gramEnd"/>
      <w:r w:rsidRPr="000D06C0">
        <w:rPr>
          <w:lang w:eastAsia="zh-CN"/>
        </w:rPr>
        <w:t>领域进行</w:t>
      </w:r>
      <w:r>
        <w:rPr>
          <w:lang w:eastAsia="zh-CN"/>
        </w:rPr>
        <w:t>了</w:t>
      </w:r>
      <w:r w:rsidRPr="000D06C0">
        <w:rPr>
          <w:lang w:eastAsia="zh-CN"/>
        </w:rPr>
        <w:t>包括技术交流、产品代理、客户共享等全</w:t>
      </w:r>
      <w:r>
        <w:rPr>
          <w:lang w:eastAsia="zh-CN"/>
        </w:rPr>
        <w:t>方位的合作，确保</w:t>
      </w:r>
      <w:r w:rsidRPr="000D06C0">
        <w:rPr>
          <w:lang w:eastAsia="zh-CN"/>
        </w:rPr>
        <w:t>公司</w:t>
      </w:r>
      <w:proofErr w:type="gramStart"/>
      <w:r w:rsidRPr="000D06C0">
        <w:rPr>
          <w:lang w:eastAsia="zh-CN"/>
        </w:rPr>
        <w:t>制程产品</w:t>
      </w:r>
      <w:proofErr w:type="gramEnd"/>
      <w:r w:rsidRPr="000D06C0">
        <w:rPr>
          <w:lang w:eastAsia="zh-CN"/>
        </w:rPr>
        <w:t>线的行业领先地位。（三）加强各项费用管控，提高公司运营效率公司加强了内部管理，提高了公司的整体运营效率，并对各项费用进行了合理的管控，进一步优化了公司的运营情况。（四）完成非公开募集资金，稳步发展产业配套服务报告期内，公司取得了中国证券监督管理委员会《关于核准深圳市新亚电子制程股份有限公司非公开发行股票的批复》（证监许可｛2017｝287号文），并于2017年6月向特定对象非公开发行104,166,600股新股，募集资金总额人民币599,999,616元，扣除所有发行费用11,170,000元后募集资金净额为588,829,616元。同期，围绕着</w:t>
      </w:r>
      <w:proofErr w:type="gramStart"/>
      <w:r w:rsidRPr="000D06C0">
        <w:rPr>
          <w:lang w:eastAsia="zh-CN"/>
        </w:rPr>
        <w:t>优质产业</w:t>
      </w:r>
      <w:proofErr w:type="gramEnd"/>
      <w:r w:rsidRPr="000D06C0">
        <w:rPr>
          <w:lang w:eastAsia="zh-CN"/>
        </w:rPr>
        <w:t>客户，公司稳步开展</w:t>
      </w:r>
      <w:proofErr w:type="gramStart"/>
      <w:r w:rsidRPr="000D06C0">
        <w:rPr>
          <w:lang w:eastAsia="zh-CN"/>
        </w:rPr>
        <w:t>商业保理业务</w:t>
      </w:r>
      <w:proofErr w:type="gramEnd"/>
      <w:r w:rsidRPr="000D06C0">
        <w:rPr>
          <w:lang w:eastAsia="zh-CN"/>
        </w:rPr>
        <w:t>，并开始逐步开展供应链业务。二、主营业务分析1、概述参见“经营情况讨论与分析”中的“一、概述”相关内容。2、收入与成本（1）营业收入构成单位：元（2）占公司营业收入或营业利润10%以上的行业、产品或地区情况√适用□不</w:t>
      </w:r>
      <w:r>
        <w:rPr>
          <w:lang w:eastAsia="zh-CN"/>
        </w:rPr>
        <w:t>适用公司是否需要遵守特殊行业的披露要求</w:t>
      </w:r>
      <w:proofErr w:type="gramStart"/>
      <w:r>
        <w:rPr>
          <w:lang w:eastAsia="zh-CN"/>
        </w:rPr>
        <w:t>否</w:t>
      </w:r>
      <w:proofErr w:type="gramEnd"/>
      <w:r>
        <w:rPr>
          <w:lang w:eastAsia="zh-CN"/>
        </w:rPr>
        <w:t>单位：元公司主营业务数据统计口径在报告期发生调整的情况下，公司最近1年按报告期末口径调整后的主营业务数据□适用√不适用（3）公司实物销售收入是否大于劳务收入√是□否（4）公司已签订的重大销售合同截至本报告期的履行情况□适用√不适用（5）营业成本构成行业和产品分类单位：元单位：元说明（6）报告期内合并范围是否发生变动√是□</w:t>
      </w:r>
      <w:proofErr w:type="gramStart"/>
      <w:r>
        <w:rPr>
          <w:lang w:eastAsia="zh-CN"/>
        </w:rPr>
        <w:t>否经2017年10月12日</w:t>
      </w:r>
      <w:proofErr w:type="gramEnd"/>
      <w:r>
        <w:rPr>
          <w:lang w:eastAsia="zh-CN"/>
        </w:rPr>
        <w:t>公司第四届董事会第十二次（临时）会议通过，深圳市新亚</w:t>
      </w:r>
      <w:proofErr w:type="gramStart"/>
      <w:r>
        <w:rPr>
          <w:lang w:eastAsia="zh-CN"/>
        </w:rPr>
        <w:t>电子制程股份有限公司</w:t>
      </w:r>
      <w:proofErr w:type="gramEnd"/>
      <w:r>
        <w:rPr>
          <w:lang w:eastAsia="zh-CN"/>
        </w:rPr>
        <w:t>将其所持有的东莞亦准自动化科技有限公司（以下简称“东莞亦准”）50.9957%的股权以2,000,000元的价格转让给自然人蓝海锋。本次转让后，公司不再持有东莞亦准的股权。该股权工商变更已于2017年11月17日完成。（7）公司报告期内业务、产品或服务发生重大变化或调整有关情况□适用√不适用（8）主要销售客户和主要供应商情况公司主要销售客户情况公司前5大客户资料主要客户其他情况说明□适用√不适用公司主要供应商情况公司前5名供应商资料主要供应商其他情况说明□适用√不适用3、费用单位：元4、研发投入√适用□不适用公司历来重视新产品和新技术的开发和创新工作，将新产品研发作为公司保持核心竞争</w:t>
      </w:r>
      <w:r>
        <w:rPr>
          <w:lang w:eastAsia="zh-CN"/>
        </w:rPr>
        <w:lastRenderedPageBreak/>
        <w:t>力的重要保证公司研发投入情况研发投入总额占营业收入的比重较上年发生显着变化的原因□适用√不适用研发投入资本化率大幅变动的原因及其合理性说明□适用√不适用5、现金流单位：元相关数据同比发生重大变动的主要影响因素说明√适用□不适用报告期内经营活动产生的现金流量净额较上年同期增加143.13%，主要原因是报告期内公司收回前期应收款及清理公司库存等事项导致现金流入所致；报告期内投资活动产生的现金流量净额较上年同期减少5317.87%，主要系报告期内公司投资购买银行理财产品支付的现金增加所致；报告期内筹资活动产生现金流量净额较上年同期增长57.5%，主要原因是报告期内公司通过定向增发募集资金导致现金流入增加；报告期内公司经营活动产生的现金净流量与本年度净利润存在重大差异的原因说明□适用√不适用三、非主营业务分析√适用□不适用单位：元四、资产及负债状况分析1、资产构成重大变动情况单位：元2、以公允价值计量的资产和负债□适用√不适用3、截至报告期末的资产权利受限情况截至报告期末，公司不存在主要资产权利受限的情况。五、投资状况分析1、总体情况□适用√不适用2、报告期内获取的重大的股权投资情况□适用√不适用3、报告期内正在进行的重大的非股权投资情况□适用√不适用4、以公允价值计量的金融资产□适用√不适用5、募集资金使用情况√适用□不适用（1）募集资金总体使用情况√适用□不适用单位：万元币3亿元的闲置募集资金进行现金管理，管理期限为自股东大会审议通过之日起一年。在上述金额范围及期限内，闲置募集资金可以滚动使用，现金管理由董事长行使投资决策权。公司独立董事、监事会及保荐机构民生证券股份有限公司均发表了明确同意意见，公司已履行了相应公告程序。合计--59,999.969,476.669,476.66000.00%49,468.05--0募集资金总体使用情况说明公司正按规划使用公司募集资金。其中：1、供应链项目正按计划完成前期的业务对接及筹备，并已开展少量业务；2、系统建设项目正在按计划进行需求调研和前期架构搭建；3、补流项目已全部补流完成。（2）募集资金承诺项目情况√适用□不适用单位：万元。。（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报告期内取得和处置子公司的情况√适用□不适用八、公司控制的结构化主体情况□适用√不适用九、公司未来发展的展望（一）行业的总体发展趋势近年来，以智能手机为代表的消费电子市场已从增量市场逐渐演变成存量博弈市场?2017年四季度，国内的大部分知名智能手机出货量出现下滑，以苹果IPhoneX为代表的新一代产品市场反应亦不如预期。而随着美国贸易保护主义的抬头和国内去杠杆政策的加速落地，国内消费电子的行业前景愈加扑朔迷离。在终端需求萎靡、贸易政策不明朗的双重负面影响下，大多数品牌厂商会保持较为谨慎的发展态度。作为消费电子领域的中上游企业，由于下游厂商需求无法有效得到提振，毛利率也难以通过加强议价的方式得到进一步改善，公司短期内发展可能会受到一定的不利影响。（二）公司2018年发展战略及规划部署1、加强自主产品的市场推广，持续提高公司的销售毛利水平通过加大产品市场推广的人员和营销投入，提高公司自主产品的市场份额，进一步优化公司的销售毛利和产品结构。2、进一步做大做强产业配套服务，与多领域的核心客户开展全方位合作大力开展以</w:t>
      </w:r>
      <w:r>
        <w:rPr>
          <w:highlight w:val="red"/>
          <w:lang w:eastAsia="zh-CN"/>
        </w:rPr>
        <w:t>供应链</w:t>
      </w:r>
      <w:r>
        <w:rPr>
          <w:lang w:eastAsia="zh-CN"/>
        </w:rPr>
        <w:t>业务</w:t>
      </w:r>
      <w:r w:rsidRPr="000D06C0">
        <w:rPr>
          <w:lang w:eastAsia="zh-CN"/>
        </w:rPr>
        <w:t>和</w:t>
      </w:r>
      <w:r>
        <w:rPr>
          <w:highlight w:val="red"/>
          <w:lang w:eastAsia="zh-CN"/>
        </w:rPr>
        <w:t>商业保理</w:t>
      </w:r>
      <w:r>
        <w:rPr>
          <w:lang w:eastAsia="zh-CN"/>
        </w:rPr>
        <w:t>业务为代表的产业配套业务，与不同领域的核心企业进行全方位合作，围绕其产业闭环提供综合</w:t>
      </w:r>
      <w:r>
        <w:rPr>
          <w:highlight w:val="red"/>
          <w:lang w:eastAsia="zh-CN"/>
        </w:rPr>
        <w:t>产业配套</w:t>
      </w:r>
      <w:r>
        <w:rPr>
          <w:lang w:eastAsia="zh-CN"/>
        </w:rPr>
        <w:t>服</w:t>
      </w:r>
      <w:r>
        <w:rPr>
          <w:lang w:eastAsia="zh-CN"/>
        </w:rPr>
        <w:lastRenderedPageBreak/>
        <w:t>务。3、寻找优质标的开展并购，提高公司的整体盈利能力和抗风险能力为降低行业波动给公司造成的业绩波动影响，提高公司的整体盈利能</w:t>
      </w:r>
      <w:r w:rsidRPr="000D06C0">
        <w:rPr>
          <w:lang w:eastAsia="zh-CN"/>
        </w:rPr>
        <w:t>力和抗风险能力，公司将积极找寻行业前景稳定的优质标的开展并购业务。4、加强人才队伍建设，完善薪酬与激励机制公司将继续加强人才队伍建设，完善薪酬与激励机制，充分发挥党组织的战斗堡垒作用。一方面，鼓励人才加强内部学习交流，提供技能培训及晋升机会，继续贯彻落实创新成果奖励机制。同时，以具有吸引力、竞争力的综合待遇引进外部高素质人才，不断壮大公司人才队伍，补充新鲜血液和年轻后备力量。另外，积极探索更加有效的薪酬与激励机制，将个人发展与企业发展有效结合起来，打造出一支有能力、有干劲、有活力、对企业对家庭忠诚的高素质人才队伍，为公司长期可持续发展提供保障。（三</w:t>
      </w:r>
      <w:r>
        <w:rPr>
          <w:lang w:eastAsia="zh-CN"/>
        </w:rPr>
        <w:t>）公司可能面临的风险1、行业依赖度较高的风险及应对措施公司主要的收入来源依赖于</w:t>
      </w:r>
      <w:r>
        <w:rPr>
          <w:highlight w:val="red"/>
          <w:lang w:eastAsia="zh-CN"/>
        </w:rPr>
        <w:t>电子制程</w:t>
      </w:r>
      <w:r>
        <w:rPr>
          <w:lang w:eastAsia="zh-CN"/>
        </w:rPr>
        <w:t>行业，行业依赖程度较高。由于宏观经济复杂多变、</w:t>
      </w:r>
      <w:r>
        <w:rPr>
          <w:highlight w:val="red"/>
          <w:lang w:eastAsia="zh-CN"/>
        </w:rPr>
        <w:t>电子</w:t>
      </w:r>
      <w:r>
        <w:rPr>
          <w:lang w:eastAsia="zh-CN"/>
        </w:rPr>
        <w:t>行业产品日新月异，下游需求会随技术革新和市场需求发生快速变化</w:t>
      </w:r>
      <w:r w:rsidRPr="000D06C0">
        <w:rPr>
          <w:lang w:eastAsia="zh-CN"/>
        </w:rPr>
        <w:t>，若宏观经济</w:t>
      </w:r>
      <w:r>
        <w:rPr>
          <w:lang w:eastAsia="zh-CN"/>
        </w:rPr>
        <w:t>或</w:t>
      </w:r>
      <w:r>
        <w:rPr>
          <w:highlight w:val="red"/>
          <w:lang w:eastAsia="zh-CN"/>
        </w:rPr>
        <w:t>电子</w:t>
      </w:r>
      <w:r w:rsidRPr="000D06C0">
        <w:rPr>
          <w:lang w:eastAsia="zh-CN"/>
        </w:rPr>
        <w:t>行业发</w:t>
      </w:r>
      <w:r>
        <w:rPr>
          <w:lang w:eastAsia="zh-CN"/>
        </w:rPr>
        <w:t>生较大波动，会对公司的经营发展带来较大不确定性。公司将坚持“</w:t>
      </w:r>
      <w:r>
        <w:rPr>
          <w:highlight w:val="red"/>
          <w:lang w:eastAsia="zh-CN"/>
        </w:rPr>
        <w:t>电子制程</w:t>
      </w:r>
      <w:r>
        <w:rPr>
          <w:lang w:eastAsia="zh-CN"/>
        </w:rPr>
        <w:t>服务+</w:t>
      </w:r>
      <w:r>
        <w:rPr>
          <w:highlight w:val="red"/>
          <w:lang w:eastAsia="zh-CN"/>
        </w:rPr>
        <w:t>电子制程</w:t>
      </w:r>
      <w:r>
        <w:rPr>
          <w:lang w:eastAsia="zh-CN"/>
        </w:rPr>
        <w:t>产品+</w:t>
      </w:r>
      <w:r>
        <w:rPr>
          <w:highlight w:val="red"/>
          <w:lang w:eastAsia="zh-CN"/>
        </w:rPr>
        <w:t>产业配套</w:t>
      </w:r>
      <w:r>
        <w:rPr>
          <w:lang w:eastAsia="zh-CN"/>
        </w:rPr>
        <w:t>服务”的发展策略，不断优化公司的业务结构，加快公司业务的多样化。2、客户集中度较高的风险及应对措施公司的客户集中度较高，对客户的依赖程度较大。公司的制程产品及产业配套服务与主要客户的配合度日益提高，但如果出现主要客户出现产品销量下降、大幅减少向公司下达订单或降低采购价格的情况，公司的经营业绩短期内可能受到较大的不利影响。为应对此风险，公司一方面不断拓展产品线的宽度和深度，通</w:t>
      </w:r>
      <w:r w:rsidRPr="000D06C0">
        <w:rPr>
          <w:lang w:eastAsia="zh-CN"/>
        </w:rPr>
        <w:t>过挖掘细分市场需求和进入新的市场等方式</w:t>
      </w:r>
      <w:r>
        <w:rPr>
          <w:lang w:eastAsia="zh-CN"/>
        </w:rPr>
        <w:t>扩大</w:t>
      </w:r>
      <w:r w:rsidRPr="000D06C0">
        <w:rPr>
          <w:lang w:eastAsia="zh-CN"/>
        </w:rPr>
        <w:t>订单来源；另一方面通过不断完善销售与售后服务流程，加大配套服务的宽度和深度，提高对客户需求的响应速度和能力，提高客户满意度，防止现有客户流失。3、应收款项较大的风险及应对措施截至2017年末，公司应收帐款余额与应收保理款余额分别为165,738,658.77元与278,800,000.00元。随着公司业务的进一步开展，相应的制程产品销售应收帐款及产业配套服务的应收款会相应变化。虽然公司的业务主要围绕着核心企业开展，且公司已建立了完善的管理机制与内控制度，但若由于宏观因素或客户自身经营情况出现恶化，导致应收款项无法回收，可能对公司的经营产生不利影响。公司将加强对应收账款回款、客户资信情况变化的监控，减少库存、资金占用、资源浪费；在商业保理业务开展过程中，公司加强产业研究，严控投资项目实施风险，并建立了完善的业务审批制度和跟踪管理制度。4、毛利率波动等风险及应对措施公司毛利率水平受行业发展状况、客户结构、产品价格、原材料价格、员工薪酬水平、残次品率、产能利用率等多种因素影响。如果上述因素持续发生不利变化，将导致公司利润率下降，对公司盈利状况造成不利影响。公司将加强内部运营管控，提高运营效率，加快产品升级，加快技术创新，确保公司核心竞争力。十、接待调研、沟通、采访等活动1、报告期内接待调研、沟通、采</w:t>
      </w:r>
      <w:r>
        <w:rPr>
          <w:lang w:eastAsia="zh-CN"/>
        </w:rPr>
        <w:t>访等活动登记表□适用√不适用公司报告期内未发生接待调研、沟通、采访等活动。</w:t>
      </w:r>
    </w:p>
    <w:sectPr w:rsidR="0057734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F8106" w14:textId="77777777" w:rsidR="0001687C" w:rsidRDefault="0001687C">
      <w:pPr>
        <w:spacing w:line="240" w:lineRule="auto"/>
      </w:pPr>
      <w:r>
        <w:separator/>
      </w:r>
    </w:p>
  </w:endnote>
  <w:endnote w:type="continuationSeparator" w:id="0">
    <w:p w14:paraId="175FB564" w14:textId="77777777" w:rsidR="0001687C" w:rsidRDefault="000168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DBD15" w14:textId="77777777" w:rsidR="0001687C" w:rsidRDefault="0001687C">
      <w:pPr>
        <w:spacing w:after="0"/>
      </w:pPr>
      <w:r>
        <w:separator/>
      </w:r>
    </w:p>
  </w:footnote>
  <w:footnote w:type="continuationSeparator" w:id="0">
    <w:p w14:paraId="268C9706" w14:textId="77777777" w:rsidR="0001687C" w:rsidRDefault="000168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812987876">
    <w:abstractNumId w:val="1"/>
  </w:num>
  <w:num w:numId="2" w16cid:durableId="1723793477">
    <w:abstractNumId w:val="4"/>
  </w:num>
  <w:num w:numId="3" w16cid:durableId="509412547">
    <w:abstractNumId w:val="5"/>
  </w:num>
  <w:num w:numId="4" w16cid:durableId="1792548850">
    <w:abstractNumId w:val="2"/>
  </w:num>
  <w:num w:numId="5" w16cid:durableId="1286428159">
    <w:abstractNumId w:val="0"/>
  </w:num>
  <w:num w:numId="6" w16cid:durableId="1941259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1687C"/>
    <w:rsid w:val="00034616"/>
    <w:rsid w:val="0006063C"/>
    <w:rsid w:val="000D06C0"/>
    <w:rsid w:val="0015074B"/>
    <w:rsid w:val="0029639D"/>
    <w:rsid w:val="00326F90"/>
    <w:rsid w:val="00577349"/>
    <w:rsid w:val="00AA1D8D"/>
    <w:rsid w:val="00B47730"/>
    <w:rsid w:val="00CB0664"/>
    <w:rsid w:val="00FC693F"/>
    <w:rsid w:val="284B4832"/>
    <w:rsid w:val="380C53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9F3437"/>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qFormat="1"/>
    <w:lsdException w:name="Light Grid" w:uiPriority="62"/>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lsdException w:name="Medium Shading 1 Accent 2" w:uiPriority="63" w:qFormat="1"/>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qFormat="1"/>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qFormat="1"/>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qFormat="1"/>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F43244E0C4E14DE8AE797C5073E9EEE9</vt:lpwstr>
  </property>
</Properties>
</file>