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255A7E" w14:textId="77777777" w:rsidR="000166C7" w:rsidRDefault="00000000">
      <w:pPr>
        <w:rPr>
          <w:lang w:eastAsia="zh-CN"/>
        </w:rPr>
      </w:pPr>
      <w:r>
        <w:rPr>
          <w:lang w:eastAsia="zh-CN"/>
        </w:rPr>
        <w:t>第五节董事会报告一、概述2012年，公司仍立足于</w:t>
      </w:r>
      <w:r>
        <w:rPr>
          <w:highlight w:val="red"/>
          <w:lang w:eastAsia="zh-CN"/>
        </w:rPr>
        <w:t>印制电路板</w:t>
      </w:r>
      <w:r>
        <w:rPr>
          <w:lang w:eastAsia="zh-CN"/>
        </w:rPr>
        <w:t>主业，继续实施既定</w:t>
      </w:r>
      <w:r w:rsidRPr="00757F43">
        <w:rPr>
          <w:lang w:eastAsia="zh-CN"/>
        </w:rPr>
        <w:t>的差异化产品竞争战略，以中高端企业通讯市场板为核心产品，逐步提高</w:t>
      </w:r>
      <w:proofErr w:type="gramStart"/>
      <w:r w:rsidRPr="00757F43">
        <w:rPr>
          <w:lang w:eastAsia="zh-CN"/>
        </w:rPr>
        <w:t>高</w:t>
      </w:r>
      <w:proofErr w:type="gramEnd"/>
      <w:r w:rsidRPr="00757F43">
        <w:rPr>
          <w:lang w:eastAsia="zh-CN"/>
        </w:rPr>
        <w:t>附加价值产品的技术水平。公司管理层秉持“成长、长青、共利”的经营理念和全体员工齐心协力，以“不断进步的技术与经验及时提供客户所需之产品与服务”为宗旨，积极开拓市场，深化改革公司管理体系，强化内部管理，在</w:t>
      </w:r>
      <w:proofErr w:type="gramStart"/>
      <w:r w:rsidRPr="00757F43">
        <w:rPr>
          <w:lang w:eastAsia="zh-CN"/>
        </w:rPr>
        <w:t>提高制程技术</w:t>
      </w:r>
      <w:proofErr w:type="gramEnd"/>
      <w:r w:rsidRPr="00757F43">
        <w:rPr>
          <w:lang w:eastAsia="zh-CN"/>
        </w:rPr>
        <w:t>、产品良品率及成本控制等方面不断努力，同时不断优化作业流程、提高信息化管理程度、落实控制流程，全面提升产品质量、服务品质和成本管理水平，确保了公司持续健康稳定的运营。二、主营业务分析1</w:t>
      </w:r>
      <w:r>
        <w:rPr>
          <w:lang w:eastAsia="zh-CN"/>
        </w:rPr>
        <w:t>、概述2012年，公司主营业务构成未发生重大变化，因受国际金融危机的深层次影响，全球经济复苏乏力，全球PCB产业整体相对低迷,高端产品需求增长迟滞，公司获利有所下滑。我公司全年实现营业收入31.44亿元，同比增长0.23%；实现利润总额3.52亿元，同比下降10.36%；归属于上市公司股东的净利润2.96亿元，同比下降9.59%；经营活动产生的现金流量净额4.72亿元，同比增长12.28%。公司回顾总结前期披露的发展战略和经营计划在报告期内的进展情况报告期内，公司遵循既定的整体发展战略及经营策略：（1）坚持实施</w:t>
      </w:r>
      <w:r w:rsidRPr="00757F43">
        <w:rPr>
          <w:lang w:eastAsia="zh-CN"/>
        </w:rPr>
        <w:t>差异化产品竞争战略，即依靠技术、管理和服务的比较竞争优势，重点生产技术含量高、应用领域相对高端的差异化产品，避免生产</w:t>
      </w:r>
      <w:r>
        <w:rPr>
          <w:lang w:eastAsia="zh-CN"/>
        </w:rPr>
        <w:t>准入门槛低、市场竞争激烈的</w:t>
      </w:r>
      <w:r>
        <w:rPr>
          <w:highlight w:val="red"/>
          <w:lang w:eastAsia="zh-CN"/>
        </w:rPr>
        <w:t>标准化</w:t>
      </w:r>
      <w:r>
        <w:rPr>
          <w:lang w:eastAsia="zh-CN"/>
        </w:rPr>
        <w:t>产品，围绕企业通讯</w:t>
      </w:r>
      <w:r>
        <w:rPr>
          <w:highlight w:val="red"/>
          <w:lang w:eastAsia="zh-CN"/>
        </w:rPr>
        <w:t>市场板</w:t>
      </w:r>
      <w:r>
        <w:rPr>
          <w:lang w:eastAsia="zh-CN"/>
        </w:rPr>
        <w:t>、</w:t>
      </w:r>
      <w:r>
        <w:rPr>
          <w:highlight w:val="red"/>
          <w:lang w:eastAsia="zh-CN"/>
        </w:rPr>
        <w:t>汽车板</w:t>
      </w:r>
      <w:r>
        <w:rPr>
          <w:lang w:eastAsia="zh-CN"/>
        </w:rPr>
        <w:t>、</w:t>
      </w:r>
      <w:r>
        <w:rPr>
          <w:highlight w:val="red"/>
          <w:lang w:eastAsia="zh-CN"/>
        </w:rPr>
        <w:t>办公</w:t>
      </w:r>
      <w:r>
        <w:rPr>
          <w:lang w:eastAsia="zh-CN"/>
        </w:rPr>
        <w:t>及</w:t>
      </w:r>
      <w:r>
        <w:rPr>
          <w:highlight w:val="red"/>
          <w:lang w:eastAsia="zh-CN"/>
        </w:rPr>
        <w:t>工业设备板</w:t>
      </w:r>
      <w:r>
        <w:rPr>
          <w:lang w:eastAsia="zh-CN"/>
        </w:rPr>
        <w:t>三大产品方向，依托公司本身的技术开发和应用能力，发展系列化产品，致力提升新产品</w:t>
      </w:r>
      <w:r w:rsidRPr="00757F43">
        <w:rPr>
          <w:lang w:eastAsia="zh-CN"/>
        </w:rPr>
        <w:t>及高端产品比重</w:t>
      </w:r>
      <w:r>
        <w:rPr>
          <w:lang w:eastAsia="zh-CN"/>
        </w:rPr>
        <w:t>，并注重产品之间的互补性，以降低市场风险；（2）公司管理</w:t>
      </w:r>
      <w:proofErr w:type="gramStart"/>
      <w:r>
        <w:rPr>
          <w:lang w:eastAsia="zh-CN"/>
        </w:rPr>
        <w:t>层持续</w:t>
      </w:r>
      <w:proofErr w:type="gramEnd"/>
      <w:r>
        <w:rPr>
          <w:lang w:eastAsia="zh-CN"/>
        </w:rPr>
        <w:t>加强成本管理，以生产技术、生产工艺创新及管理水平提升带动成本循环改善，将改善成果转化为新的管控标准，凭借</w:t>
      </w:r>
      <w:r>
        <w:rPr>
          <w:highlight w:val="red"/>
          <w:lang w:eastAsia="zh-CN"/>
        </w:rPr>
        <w:t>信息化</w:t>
      </w:r>
      <w:r>
        <w:rPr>
          <w:lang w:eastAsia="zh-CN"/>
        </w:rPr>
        <w:t>管理手段，为执行</w:t>
      </w:r>
      <w:proofErr w:type="gramStart"/>
      <w:r>
        <w:rPr>
          <w:lang w:eastAsia="zh-CN"/>
        </w:rPr>
        <w:t>各项管控标准</w:t>
      </w:r>
      <w:proofErr w:type="gramEnd"/>
      <w:r>
        <w:rPr>
          <w:lang w:eastAsia="zh-CN"/>
        </w:rPr>
        <w:t>提供长效而及时的监控，进而有效巩固改善成果；（3）加大教育训练投入以提升员工职业技能和职业发展能力，加强绩效考核，提升人力效率；（4）同时，公司综合考虑老厂搬迁</w:t>
      </w:r>
      <w:r w:rsidRPr="00757F43">
        <w:rPr>
          <w:lang w:eastAsia="zh-CN"/>
        </w:rPr>
        <w:t>安排，积极推进</w:t>
      </w:r>
      <w:proofErr w:type="gramStart"/>
      <w:r w:rsidRPr="00757F43">
        <w:rPr>
          <w:lang w:eastAsia="zh-CN"/>
        </w:rPr>
        <w:t>募投项</w:t>
      </w:r>
      <w:r>
        <w:rPr>
          <w:lang w:eastAsia="zh-CN"/>
        </w:rPr>
        <w:t>目</w:t>
      </w:r>
      <w:proofErr w:type="gramEnd"/>
      <w:r>
        <w:rPr>
          <w:lang w:eastAsia="zh-CN"/>
        </w:rPr>
        <w:t>及新厂区建设，顺应</w:t>
      </w:r>
      <w:r>
        <w:rPr>
          <w:highlight w:val="red"/>
          <w:lang w:eastAsia="zh-CN"/>
        </w:rPr>
        <w:t>PCB</w:t>
      </w:r>
      <w:r>
        <w:rPr>
          <w:lang w:eastAsia="zh-CN"/>
        </w:rPr>
        <w:t>产业转移趋势，积极推动</w:t>
      </w:r>
      <w:r>
        <w:rPr>
          <w:highlight w:val="red"/>
          <w:lang w:eastAsia="zh-CN"/>
        </w:rPr>
        <w:t>黄石PCB</w:t>
      </w:r>
      <w:r>
        <w:rPr>
          <w:lang w:eastAsia="zh-CN"/>
        </w:rPr>
        <w:t>项目进展，为扩充公司的整体产能，扩大公司的销售规模，进一步提高公司产品的市场占有率，稳固公司行业领先的地位，实现中长期跨越式发展奠定了坚实的基础。立足于</w:t>
      </w:r>
      <w:r>
        <w:rPr>
          <w:highlight w:val="red"/>
          <w:lang w:eastAsia="zh-CN"/>
        </w:rPr>
        <w:t>印制电路板</w:t>
      </w:r>
      <w:r>
        <w:rPr>
          <w:lang w:eastAsia="zh-CN"/>
        </w:rPr>
        <w:t>行业的发展空间，公司将紧紧抓住发展机遇，充分利用自身优势，实现经营目标，力争经过3-5年的努力，实现在企业通讯市场细分领域全球领先的战略目标。公司实际经营</w:t>
      </w:r>
      <w:proofErr w:type="gramStart"/>
      <w:r>
        <w:rPr>
          <w:lang w:eastAsia="zh-CN"/>
        </w:rPr>
        <w:t>业绩较曾公开</w:t>
      </w:r>
      <w:proofErr w:type="gramEnd"/>
      <w:r>
        <w:rPr>
          <w:lang w:eastAsia="zh-CN"/>
        </w:rPr>
        <w:t>披露过的本年度盈利预测低于或高于20%以上的差异原因□适用√不适用2、收入公司实物销售收入是否大于劳务收入□是√</w:t>
      </w:r>
      <w:proofErr w:type="gramStart"/>
      <w:r>
        <w:rPr>
          <w:lang w:eastAsia="zh-CN"/>
        </w:rPr>
        <w:t>否公司</w:t>
      </w:r>
      <w:proofErr w:type="gramEnd"/>
      <w:r>
        <w:rPr>
          <w:lang w:eastAsia="zh-CN"/>
        </w:rPr>
        <w:t>重大的在手订单情况□适用√不适用公司报告期内产品或服务发生重大变化或调整有关情况□适用√不适用公司主要销售客户情况公司前5大客户资料√适用□不适用3、成本行业分类成本分类）2012年度，公司依照惯例，参照行业和地区薪资水平，调整了薪资水平，为员工提供具有竞争力的薪资待遇，以保持人员的稳定。公司主导产品为</w:t>
      </w:r>
      <w:r>
        <w:rPr>
          <w:highlight w:val="red"/>
          <w:lang w:eastAsia="zh-CN"/>
        </w:rPr>
        <w:t>中高端印制电路板</w:t>
      </w:r>
      <w:r>
        <w:rPr>
          <w:lang w:eastAsia="zh-CN"/>
        </w:rPr>
        <w:t>，稳定熟练的员工有助于保障卓越的产品品质，有利于提升产品良品率。公司主要供应商情况）公司前5名供应商资料□适用√不适用4、费用5、良品</w:t>
      </w:r>
      <w:proofErr w:type="gramStart"/>
      <w:r>
        <w:rPr>
          <w:lang w:eastAsia="zh-CN"/>
        </w:rPr>
        <w:t>率报告</w:t>
      </w:r>
      <w:proofErr w:type="gramEnd"/>
      <w:r>
        <w:rPr>
          <w:lang w:eastAsia="zh-CN"/>
        </w:rPr>
        <w:t>期内，公司良品率较去年同期提升了0.57%。6、研发支出公司始终坚持以市场为导向，持续投入研发，不断开发生产适销对路的产品，扩大绿色环保型、替代进口型等高技术含量</w:t>
      </w:r>
      <w:r>
        <w:rPr>
          <w:highlight w:val="red"/>
          <w:lang w:eastAsia="zh-CN"/>
        </w:rPr>
        <w:t>PCB</w:t>
      </w:r>
      <w:r>
        <w:rPr>
          <w:lang w:eastAsia="zh-CN"/>
        </w:rPr>
        <w:t>产品所占比重，已逐步形成可持续发展的产品开发体系。2012年度，公司获得了1项发明专利，2项实用新型专利，1项计算机软件著作权。目前公司正在申请“一种厚铜类</w:t>
      </w:r>
      <w:r>
        <w:rPr>
          <w:highlight w:val="red"/>
          <w:lang w:eastAsia="zh-CN"/>
        </w:rPr>
        <w:t>印刷线路板喷锡</w:t>
      </w:r>
      <w:r>
        <w:rPr>
          <w:lang w:eastAsia="zh-CN"/>
        </w:rPr>
        <w:t>流程制作方法”等4项专利；研发中心自主开发的“</w:t>
      </w:r>
      <w:r>
        <w:rPr>
          <w:highlight w:val="red"/>
          <w:lang w:eastAsia="zh-CN"/>
        </w:rPr>
        <w:t>双面机械盲孔高层数高速背板</w:t>
      </w:r>
      <w:r>
        <w:rPr>
          <w:lang w:eastAsia="zh-CN"/>
        </w:rPr>
        <w:t>产品”、</w:t>
      </w:r>
      <w:r>
        <w:rPr>
          <w:lang w:eastAsia="zh-CN"/>
        </w:rPr>
        <w:lastRenderedPageBreak/>
        <w:t>“</w:t>
      </w:r>
      <w:r>
        <w:rPr>
          <w:highlight w:val="red"/>
          <w:lang w:eastAsia="zh-CN"/>
        </w:rPr>
        <w:t>零件插接孔径公差</w:t>
      </w:r>
      <w:r w:rsidRPr="00BB65E0">
        <w:rPr>
          <w:lang w:eastAsia="zh-CN"/>
        </w:rPr>
        <w:t>+2/-1mil之高阶Linecard产品</w:t>
      </w:r>
      <w:r>
        <w:rPr>
          <w:lang w:eastAsia="zh-CN"/>
        </w:rPr>
        <w:t>”等产品已取得昆山市科学技术局出具的企业研究开发项目确认书。报告期内，因受经济形势影响，</w:t>
      </w:r>
      <w:r>
        <w:rPr>
          <w:highlight w:val="red"/>
          <w:lang w:eastAsia="zh-CN"/>
        </w:rPr>
        <w:t>高端PCB</w:t>
      </w:r>
      <w:r>
        <w:rPr>
          <w:lang w:eastAsia="zh-CN"/>
        </w:rPr>
        <w:t>产品需求增长迟滞，公司部分客户新产品开发有所放缓，与之相对应，公司研发支出同比有所下降。7、现金流相关数据同比发生变动30%以上的原因说明√适用□不适用投资活动现金流同比变动主要原因系公司于2011年2月收到开发区财政局委托昆山经济技术开发区资产经营有限公司支付给我公司的首期8,140万元搬迁补偿款；筹资活动现金流同比变动主要原因系公司为取得银行贷款质押了192,030,546元保证金存款。报告期内公司经营活动的现金流量与本年度净利润存在重大差异的原因说明□适用√不适用三、主营业务产品结构1、按产品应用领域分类2012年度公司产品结构与去年同期基本保持一致，公司主导产品企业通讯市场板占主营业务收入的比重为71.51%，较去年同期增加0.48%；汽车板占主营业务收入的比重为20.11%，较去年同期增加1.75%；其他应用领域产品占主营业务收入的比重较去年同期均略有下降。注：上表中毛利率比上年增减（%）按差额计算。2、按产品销售区域分类报告期内，公司积极开拓国内市场，加大内销力度，内销收入占主营业务收入的比重较去年同期增加了5.10%，但受国际经济形势影响，公司外销收入占主营业务收入的比重较去年同期略有下降。3、按产品层数分类报告期内，公司持续投入研发，努力提升新产品、高端产品的销售比重，其中毛利较高的18层以上超高层板占主营业务收入的比重较去年同期增加2.35%，因受人工成本上涨、全球</w:t>
      </w:r>
      <w:r>
        <w:rPr>
          <w:highlight w:val="red"/>
          <w:lang w:eastAsia="zh-CN"/>
        </w:rPr>
        <w:t>PCB</w:t>
      </w:r>
      <w:r>
        <w:rPr>
          <w:lang w:eastAsia="zh-CN"/>
        </w:rPr>
        <w:t>产业整体相对低迷等不利因素影响，报告期内公司毛利率较去年同期略有下降。四、资产、负债状况分析1、资产项目重大变动情况2、负债项目重大变动情况五、核心竞争力分析1、发展战略明确，行业地位领先公司涉足PCB行业多年，经过多年的市场拓展和品牌经营，已成为</w:t>
      </w:r>
      <w:r>
        <w:rPr>
          <w:highlight w:val="red"/>
          <w:lang w:eastAsia="zh-CN"/>
        </w:rPr>
        <w:t>PCB</w:t>
      </w:r>
      <w:r>
        <w:rPr>
          <w:lang w:eastAsia="zh-CN"/>
        </w:rPr>
        <w:t>行业内的重要品牌之一，在行业内享有盛誉。公司坚持实施差异化产品竞争战略，即依靠技术、管理和服务的比较竞争优势，重点生产技术含量高、应用领域相对高端</w:t>
      </w:r>
      <w:r w:rsidRPr="00BB65E0">
        <w:rPr>
          <w:lang w:eastAsia="zh-CN"/>
        </w:rPr>
        <w:t>的差异化产品，避</w:t>
      </w:r>
      <w:r>
        <w:rPr>
          <w:lang w:eastAsia="zh-CN"/>
        </w:rPr>
        <w:t>免生产准入门槛低、市场竞争激烈的</w:t>
      </w:r>
      <w:r>
        <w:rPr>
          <w:highlight w:val="red"/>
          <w:lang w:eastAsia="zh-CN"/>
        </w:rPr>
        <w:t>标准化</w:t>
      </w:r>
      <w:r>
        <w:rPr>
          <w:lang w:eastAsia="zh-CN"/>
        </w:rPr>
        <w:t>产品。2、客户资源优势公司十分注重与客户的长期战略合作关系，积极配合客户进行项目研发或产品设计，努力成为其供应链中重要一环，从而提升客户忠诚度。此外，公司还致力于在不同地区和不同产品领域持续开发新客户，实现客户资源的适度多样化。通过以上举措，公司与国内外主要客户在PCB主要产品领域建立了稳固的业务联系，多次获得上述客户―名优产品‖、―绿色合作伙伴‖、―金牌奖‖、―突出供应商‖、―金牌供应商‖的认可。3、技术领先优势公司在多年的发展历程中，一贯注重工艺改进与技术创新，取得了多项国内外先进或领先水平的核心技术，使公司产品与同类产品相比具有技术领先、成本低、品质高等特点，在国内居领先水平。公司立足于既有的企业</w:t>
      </w:r>
      <w:r>
        <w:rPr>
          <w:highlight w:val="red"/>
          <w:lang w:eastAsia="zh-CN"/>
        </w:rPr>
        <w:t>通讯市场板</w:t>
      </w:r>
      <w:r>
        <w:rPr>
          <w:lang w:eastAsia="zh-CN"/>
        </w:rPr>
        <w:t>、</w:t>
      </w:r>
      <w:r>
        <w:rPr>
          <w:highlight w:val="red"/>
          <w:lang w:eastAsia="zh-CN"/>
        </w:rPr>
        <w:t>汽车板</w:t>
      </w:r>
      <w:r>
        <w:rPr>
          <w:lang w:eastAsia="zh-CN"/>
        </w:rPr>
        <w:t>等主导产品的技术领先优势，及时把握通信、汽车等领域高端客户的产品需求，持续保持自身研发水平的领先性和研究方向的前瞻性。4、管理及成本优势PCB生产企业的管理效率直接关系到其盈利水平和竞争能力。公司组建了国际化的经营管理团队，制定了标准作业规范，以保证生产流程及销售流程的优化管理；制定了内部稽核制度，以保证生产经营活动程序化、规范化、标准化。与行业内其他企业相比，公司在成本控制方面具备一定优势，以生产技术、生产工艺创新及管理水平提升带动成本循环改善，将改善成果转化为新的管控标准。凭借信息化管理手段，为执行各项管控标准提供长效而及时的监控，进而有效巩固改善成果。5、快速满足客户要求的能力是否能够按期向客户交货，是电路板制造商实力的重要表现。客户订单包括样品订单、快件</w:t>
      </w:r>
      <w:r>
        <w:rPr>
          <w:lang w:eastAsia="zh-CN"/>
        </w:rPr>
        <w:lastRenderedPageBreak/>
        <w:t>小批量订单、加急大批量订单、标准交期订单等多种不同订单。公司在满足客户交货要求方面，具有高度的灵活性和应变能力，建立了独立的快件生产线，并设置了独立应对紧急订单的生产指挥系统，能够及时响应客户需求。六、投资状况分析1、对外股权投资情况（1）对外投资情况2、委托理财、衍生</w:t>
      </w:r>
      <w:proofErr w:type="gramStart"/>
      <w:r>
        <w:rPr>
          <w:lang w:eastAsia="zh-CN"/>
        </w:rPr>
        <w:t>品投资</w:t>
      </w:r>
      <w:proofErr w:type="gramEnd"/>
      <w:r>
        <w:rPr>
          <w:lang w:eastAsia="zh-CN"/>
        </w:rPr>
        <w:t>和委托贷款情况（1）委托理财情况单位：万元3、募集资金使用情况（1）募集资金总体使用情况单位：万元（2）募集资金承诺项目情况单位：万元承诺投资项目和超募资金投向是否已变更项募集资金承诺调整后投资本报告期截至期末累计截至期末投资进度（%）本报告期项目达到预定可使用实现是否项目可行性达到是否发生重目（含部分变更）投资总额总额（1）投入金额投入金额（2）（3）＝（2）/（1）状态日期预计的效大变化效益益承诺投资项目年产高密度互连积层板（HDI）线路板75万平方米扩建项目否66,934.8766,934.873,237.3815,433.0223%2014年08月31日--否3G通讯高端系统板（HDI）生产线技改项目否20,307.2820,307.284,174.0811,899.1259%2013年12月31日--否研发中心升级改造项目否4,253.84,253.8595.93,970.1493%2013年08月31日--否承诺投资项目小计--91,495.9591,495.958,007.3631,302.28---------超募资金投向收购并增资先创利电子否7,213.57,213.57,213.5100%设立黄石子公司否24,094.0824,094.0824,094.0824,094.08100%超募资金投向小计--31,307.5831,307.5824,094.0831,307.58--------合计--122,803.53122,803.5332,101.4462,609.86----0----未达到计划进度或预计收益的情况和原因（分具体项目）受全球经济形势的不利影响，同时为了配合公司老厂区整体搬迁的顺利实施，研发中心升级改造项目预计将延期至2013年8月31日实施完毕；3G通讯高端系统板（HDI）生产线技改项目预计将延期至2013年12月31日实施完毕；年产高密度互连积层板（HDI）线路板75万平方米扩建项目预计将延期至2014年8月31日实施完毕。项目可行性发生重大变化的情况说明无超募资金的金额、用途及使用进展情况适用超募资金为31,307.58万元（不含银行利息），截止2012年6月30日，本公司超募资金已经使用完毕。募集资金投资项目实施地点变更情况不适用募集资金投资项目实施方式调整情况不适用募集资金投资项目先期投入及置换情况不适用用闲置募集资金暂时补充流动资金情况不适用项目实施出现募集资金结余的金额及原因不适用尚未使用的募集资金用途及去向截至2012年12月31日，尚未使用的募集资金均为专户存储因本公司募集资金币种为人民币，而募集资金项目中有部分进口设备、材料等需以美元结算。另本公司营业收入中美元占有较大募集资金使用及披露中存在的问题或其他情况比例，同时近期人民币汇率波动较大，为平衡外币收支，降低换汇成本，公司使用流动资金中自有美元支付进口设备，并以实际支付当日的人民币对美元买入价折算成等额人民币，从募集资金专项账户中划转入公司流动资金账户。因部分国内客户使用银行承兑汇票支付公司货款，为加强资金使用效率，公司使用收取的银行承兑汇票背书给供应商，用于结算募集资金项目工程、设备、材料等款项，同时将等额人民币从募集资金专项账户中划转入公司流动资金账户。4、子公司情况（1）</w:t>
      </w:r>
      <w:proofErr w:type="gramStart"/>
      <w:r>
        <w:rPr>
          <w:lang w:eastAsia="zh-CN"/>
        </w:rPr>
        <w:t>沪利微电沪利</w:t>
      </w:r>
      <w:proofErr w:type="gramEnd"/>
      <w:r>
        <w:rPr>
          <w:lang w:eastAsia="zh-CN"/>
        </w:rPr>
        <w:t>微电是本公司的全资子公司，成立于2002年9月16日。住所为江苏省昆山出口加工区楠</w:t>
      </w:r>
      <w:proofErr w:type="gramStart"/>
      <w:r>
        <w:rPr>
          <w:lang w:eastAsia="zh-CN"/>
        </w:rPr>
        <w:t>梓</w:t>
      </w:r>
      <w:proofErr w:type="gramEnd"/>
      <w:r>
        <w:rPr>
          <w:lang w:eastAsia="zh-CN"/>
        </w:rPr>
        <w:t>路；法定代表人为吴礼淦；经营范围：生产、加工</w:t>
      </w:r>
      <w:r>
        <w:rPr>
          <w:highlight w:val="red"/>
          <w:lang w:eastAsia="zh-CN"/>
        </w:rPr>
        <w:t>覆芯片</w:t>
      </w:r>
      <w:r>
        <w:rPr>
          <w:lang w:eastAsia="zh-CN"/>
        </w:rPr>
        <w:t>（</w:t>
      </w:r>
      <w:r>
        <w:rPr>
          <w:highlight w:val="red"/>
          <w:lang w:eastAsia="zh-CN"/>
        </w:rPr>
        <w:t>FLIPCHIP</w:t>
      </w:r>
      <w:r>
        <w:rPr>
          <w:lang w:eastAsia="zh-CN"/>
        </w:rPr>
        <w:t>）构装用之高密度细</w:t>
      </w:r>
      <w:r>
        <w:rPr>
          <w:highlight w:val="red"/>
          <w:lang w:eastAsia="zh-CN"/>
        </w:rPr>
        <w:t>电路基座</w:t>
      </w:r>
      <w:r>
        <w:rPr>
          <w:lang w:eastAsia="zh-CN"/>
        </w:rPr>
        <w:t>（</w:t>
      </w:r>
      <w:r>
        <w:rPr>
          <w:highlight w:val="red"/>
          <w:lang w:eastAsia="zh-CN"/>
        </w:rPr>
        <w:t>SUBSTRATE</w:t>
      </w:r>
      <w:r>
        <w:rPr>
          <w:lang w:eastAsia="zh-CN"/>
        </w:rPr>
        <w:t>）；</w:t>
      </w:r>
      <w:r>
        <w:rPr>
          <w:highlight w:val="red"/>
          <w:lang w:eastAsia="zh-CN"/>
        </w:rPr>
        <w:t>HDI线路板</w:t>
      </w:r>
      <w:r>
        <w:rPr>
          <w:lang w:eastAsia="zh-CN"/>
        </w:rPr>
        <w:t>及同类和相关产品的批发、进出口业务；销售自产产品并提供产品的售后服务。截至2012年12月31日，其</w:t>
      </w:r>
      <w:r>
        <w:rPr>
          <w:lang w:eastAsia="zh-CN"/>
        </w:rPr>
        <w:lastRenderedPageBreak/>
        <w:t>总资产为75,183.09万元，净资产为46,198.17万元，2012年度实现营业收入86,717.43万元，净利润为1,844.80万元（以上财务数据业经江苏华星会计师事务所有限公司昆山分所审计）。（2）沪士国际沪士国际是本公司的全资子公司，于2006年8月在香港设立，2006年10月9日，国家商务部以[2006]</w:t>
      </w:r>
      <w:proofErr w:type="gramStart"/>
      <w:r>
        <w:rPr>
          <w:lang w:eastAsia="zh-CN"/>
        </w:rPr>
        <w:t>商合境外投资证</w:t>
      </w:r>
      <w:proofErr w:type="gramEnd"/>
      <w:r>
        <w:rPr>
          <w:lang w:eastAsia="zh-CN"/>
        </w:rPr>
        <w:t>字第001239号批准证书同意公司设立沪士国际有限公司；注册资本为5,010.2776万美元；注册地址为香港新界荃湾白田坝街23-39号长丰工业大厦1201室；经营范围为单、双面及</w:t>
      </w:r>
      <w:r>
        <w:rPr>
          <w:highlight w:val="red"/>
          <w:lang w:eastAsia="zh-CN"/>
        </w:rPr>
        <w:t>多层电路板</w:t>
      </w:r>
      <w:r>
        <w:rPr>
          <w:lang w:eastAsia="zh-CN"/>
        </w:rPr>
        <w:t>、</w:t>
      </w:r>
      <w:r>
        <w:rPr>
          <w:highlight w:val="red"/>
          <w:lang w:eastAsia="zh-CN"/>
        </w:rPr>
        <w:t>电路板组装</w:t>
      </w:r>
      <w:r>
        <w:rPr>
          <w:lang w:eastAsia="zh-CN"/>
        </w:rPr>
        <w:t>产品、</w:t>
      </w:r>
      <w:r>
        <w:rPr>
          <w:highlight w:val="red"/>
          <w:lang w:eastAsia="zh-CN"/>
        </w:rPr>
        <w:t>电子设备使用</w:t>
      </w:r>
      <w:r w:rsidRPr="00BB65E0">
        <w:rPr>
          <w:lang w:eastAsia="zh-CN"/>
        </w:rPr>
        <w:t>的</w:t>
      </w:r>
      <w:r>
        <w:rPr>
          <w:highlight w:val="red"/>
          <w:lang w:eastAsia="zh-CN"/>
        </w:rPr>
        <w:t>连接线</w:t>
      </w:r>
      <w:r>
        <w:rPr>
          <w:lang w:eastAsia="zh-CN"/>
        </w:rPr>
        <w:t>和连接器等产品的贸易销售、业务咨询及售后服务。沪士国际有限公司目前主要是为方便公司在中国内地以外获取订单以及销售所设，并于2009年10月开始经营。截至2012年12月31日，其总资产为39,889万元，净资产为2,065万元，2012年度实现营业收入124,914万元，净利润为934万元（以上财务数据未经审计）。（3）</w:t>
      </w:r>
      <w:proofErr w:type="gramStart"/>
      <w:r>
        <w:rPr>
          <w:lang w:eastAsia="zh-CN"/>
        </w:rPr>
        <w:t>易惠贸易易惠贸易</w:t>
      </w:r>
      <w:proofErr w:type="gramEnd"/>
      <w:r>
        <w:rPr>
          <w:lang w:eastAsia="zh-CN"/>
        </w:rPr>
        <w:t>是本公司的全资子公司，成立于2003年9月11日，住所为昆山开发区黑龙江北路55号第4幢；法定代表人为邓文澜；许可经营项目为危险化学品批发；一般经营项目为</w:t>
      </w:r>
      <w:r>
        <w:rPr>
          <w:highlight w:val="red"/>
          <w:lang w:eastAsia="zh-CN"/>
        </w:rPr>
        <w:t>铜面基板</w:t>
      </w:r>
      <w:r>
        <w:rPr>
          <w:lang w:eastAsia="zh-CN"/>
        </w:rPr>
        <w:t>、</w:t>
      </w:r>
      <w:r>
        <w:rPr>
          <w:highlight w:val="red"/>
          <w:lang w:eastAsia="zh-CN"/>
        </w:rPr>
        <w:t>线路板原材料</w:t>
      </w:r>
      <w:r>
        <w:rPr>
          <w:lang w:eastAsia="zh-CN"/>
        </w:rPr>
        <w:t>、</w:t>
      </w:r>
      <w:r w:rsidRPr="00BB65E0">
        <w:rPr>
          <w:lang w:eastAsia="zh-CN"/>
        </w:rPr>
        <w:t>电脑、通讯产品</w:t>
      </w:r>
      <w:r>
        <w:rPr>
          <w:lang w:eastAsia="zh-CN"/>
        </w:rPr>
        <w:t>及</w:t>
      </w:r>
      <w:r>
        <w:rPr>
          <w:highlight w:val="red"/>
          <w:lang w:eastAsia="zh-CN"/>
        </w:rPr>
        <w:t>周边配套</w:t>
      </w:r>
      <w:r>
        <w:rPr>
          <w:lang w:eastAsia="zh-CN"/>
        </w:rPr>
        <w:t>产品、</w:t>
      </w:r>
      <w:r>
        <w:rPr>
          <w:highlight w:val="red"/>
          <w:lang w:eastAsia="zh-CN"/>
        </w:rPr>
        <w:t>印刷电路板</w:t>
      </w:r>
      <w:r>
        <w:rPr>
          <w:lang w:eastAsia="zh-CN"/>
        </w:rPr>
        <w:t>等产品的销售，自营和代理各类商品和技术的进出口；注册资本和实收资本均为100万元。昆山易惠贸易有限公司主要是为公司位于江苏省昆山出口加工区的全资子公司</w:t>
      </w:r>
      <w:proofErr w:type="gramStart"/>
      <w:r>
        <w:rPr>
          <w:lang w:eastAsia="zh-CN"/>
        </w:rPr>
        <w:t>昆山沪利微电</w:t>
      </w:r>
      <w:proofErr w:type="gramEnd"/>
      <w:r>
        <w:rPr>
          <w:lang w:eastAsia="zh-CN"/>
        </w:rPr>
        <w:t>有限公司采购</w:t>
      </w:r>
      <w:r w:rsidRPr="00BB65E0">
        <w:rPr>
          <w:lang w:eastAsia="zh-CN"/>
        </w:rPr>
        <w:t>国产原材料、包装物料服务。截至2012年12月31日，其总资产为2,554.03万元，净资产为182.20万元，2012年度实现营</w:t>
      </w:r>
      <w:r>
        <w:rPr>
          <w:lang w:eastAsia="zh-CN"/>
        </w:rPr>
        <w:t>业收入7,075.30万元，净利润为15.11万元（以上财务数据业经江苏华星会计师事务所有限公司昆山分所审计）。（4）昆山先创利昆山先创利是本公司的全资子公司，成立于2004年4月。住所为江苏省昆山市玉山镇高科园312国道南侧（青</w:t>
      </w:r>
      <w:proofErr w:type="gramStart"/>
      <w:r>
        <w:rPr>
          <w:lang w:eastAsia="zh-CN"/>
        </w:rPr>
        <w:t>淞</w:t>
      </w:r>
      <w:proofErr w:type="gramEnd"/>
      <w:r>
        <w:rPr>
          <w:lang w:eastAsia="zh-CN"/>
        </w:rPr>
        <w:t>村）；法定代表人为吴传彬；注册资本和实收资本均为12,037.502万元；经营范围：</w:t>
      </w:r>
      <w:r>
        <w:rPr>
          <w:highlight w:val="red"/>
          <w:lang w:eastAsia="zh-CN"/>
        </w:rPr>
        <w:t>薄膜液晶显示器模组零组件</w:t>
      </w:r>
      <w:r>
        <w:rPr>
          <w:lang w:eastAsia="zh-CN"/>
        </w:rPr>
        <w:t>等</w:t>
      </w:r>
      <w:r w:rsidRPr="00BB65E0">
        <w:rPr>
          <w:lang w:eastAsia="zh-CN"/>
        </w:rPr>
        <w:t>新型</w:t>
      </w:r>
      <w:r>
        <w:rPr>
          <w:highlight w:val="red"/>
          <w:lang w:eastAsia="zh-CN"/>
        </w:rPr>
        <w:t>平板显示器件</w:t>
      </w:r>
      <w:r>
        <w:rPr>
          <w:lang w:eastAsia="zh-CN"/>
        </w:rPr>
        <w:t>及</w:t>
      </w:r>
      <w:r w:rsidRPr="00BB65E0">
        <w:rPr>
          <w:lang w:eastAsia="zh-CN"/>
        </w:rPr>
        <w:t>新型</w:t>
      </w:r>
      <w:r>
        <w:rPr>
          <w:highlight w:val="red"/>
          <w:lang w:eastAsia="zh-CN"/>
        </w:rPr>
        <w:t>电子元器件</w:t>
      </w:r>
      <w:r>
        <w:rPr>
          <w:lang w:eastAsia="zh-CN"/>
        </w:rPr>
        <w:t>的组装，销售自产产品，并提供售后服务；</w:t>
      </w:r>
      <w:r>
        <w:rPr>
          <w:highlight w:val="red"/>
          <w:lang w:eastAsia="zh-CN"/>
        </w:rPr>
        <w:t>印制电路板</w:t>
      </w:r>
      <w:r>
        <w:rPr>
          <w:lang w:eastAsia="zh-CN"/>
        </w:rPr>
        <w:t>的销售及售后服务，以及相关产品的进出口业务。截止2012年12月31日，其总资产为6,986.87万元，净资产为6,982.79万元，2012年度实现营业收入168.62万元，净利润为40.08万元（上述财务数据未经审计）。（5）黄石沪士2011年11月8日，我公司与黄石经济技术开发区管理委员会在黄石市人民政府</w:t>
      </w:r>
      <w:proofErr w:type="gramStart"/>
      <w:r>
        <w:rPr>
          <w:lang w:eastAsia="zh-CN"/>
        </w:rPr>
        <w:t>鉴证</w:t>
      </w:r>
      <w:proofErr w:type="gramEnd"/>
      <w:r>
        <w:rPr>
          <w:lang w:eastAsia="zh-CN"/>
        </w:rPr>
        <w:t>下，就我公司在黄石经济技术开发区黄金山工业新区内投资建设PCB项目签订了书面协议，该协议</w:t>
      </w:r>
      <w:proofErr w:type="gramStart"/>
      <w:r>
        <w:rPr>
          <w:lang w:eastAsia="zh-CN"/>
        </w:rPr>
        <w:t>已经我</w:t>
      </w:r>
      <w:proofErr w:type="gramEnd"/>
      <w:r>
        <w:rPr>
          <w:lang w:eastAsia="zh-CN"/>
        </w:rPr>
        <w:t>公司于2012年8月2日召开的2012年第二次临时股东大会审议批准。该项目拟投资33亿元人民币，项目建设期为6年，分二期完成建设，第一期3年，第二期3年，全部建成达产后达产规模</w:t>
      </w:r>
      <w:proofErr w:type="gramStart"/>
      <w:r>
        <w:rPr>
          <w:lang w:eastAsia="zh-CN"/>
        </w:rPr>
        <w:t>总层面积</w:t>
      </w:r>
      <w:proofErr w:type="gramEnd"/>
      <w:r>
        <w:rPr>
          <w:lang w:eastAsia="zh-CN"/>
        </w:rPr>
        <w:t>约300万平方米/年，年可实现销售收入约30亿元人民币。上述项目投资金额、销售收入等数值均为预估数，在项目建设、市场销售等方面存在重大不确定性。公司于2012年2月6日，召开2012年第一次临时股东大会，审议通过了《关于拟在黄石设立全资子公司的议案》，决定在黄石设立全资子公司作为在黄石经济技术开发区黄金山工业新区内投资建设印制电路板项目主体，注册资本为人民币3亿元。其中使用超募资金出资240,940,737元，剩余部分使用公司流动资金出资。2012年2月27日，公司完成黄石沪士的工商注册登记，领取了企业法人营业执照，注册号：420200000047134。2012年9月24日，黄石沪士在大冶市公共资源交易中心举办的国有建设用地使用权挂牌出让活动中，以总价人民币3,423万元</w:t>
      </w:r>
      <w:proofErr w:type="gramStart"/>
      <w:r>
        <w:rPr>
          <w:lang w:eastAsia="zh-CN"/>
        </w:rPr>
        <w:t>竞得宗地</w:t>
      </w:r>
      <w:proofErr w:type="gramEnd"/>
      <w:r>
        <w:rPr>
          <w:lang w:eastAsia="zh-CN"/>
        </w:rPr>
        <w:t>编号为G12024地块的国有建设用地使用权；2012年12月27日至2013年1月7日，黄石沪士在大冶市公共资源交易中心于举办的国有建设用地使用权挂牌出让活动中，以人</w:t>
      </w:r>
      <w:r>
        <w:rPr>
          <w:lang w:eastAsia="zh-CN"/>
        </w:rPr>
        <w:lastRenderedPageBreak/>
        <w:t>民币595万元竞得宗地编号为G12089地块的国有建设用地使用权。黄石沪士目前仍处于筹建期。截止2012年12月31日，其总资产为30,519.95万元，净资产为29,999.78万元，2012年度亏损0.22万元（上述财务数据未经审计）。（6）黄石供应链公司于2012年2月6日，召开2012年第一次临时股东大会,审议通过了《关于拟在黄石设立全资子公司的议案》，决定在黄石设立全资子公司作为在黄石经济技术开发区黄金山工业新区内投资建设印制</w:t>
      </w:r>
      <w:r>
        <w:rPr>
          <w:highlight w:val="red"/>
          <w:lang w:eastAsia="zh-CN"/>
        </w:rPr>
        <w:t>电路板</w:t>
      </w:r>
      <w:r>
        <w:rPr>
          <w:lang w:eastAsia="zh-CN"/>
        </w:rPr>
        <w:t>项目主体，注册资本为人民币3亿元。并授权黄石沪士电子有限公司可以根据项目建设及配套等需求，在注册资本不超过人民币5,000万元的范围内，于黄石设立全资子公司。2012年5月21日，公司完成黄石供应链的工商注册登记，领取了企业法人营业执照，注册资本为人民币2,000万元，注册号：420200000050832。2012年12月27日至2013年1月7日，黄石供应链在大冶市公共资源交易中心于举办的国有建设用地使用权挂牌出让活动中，以人民币3,149万元、3,500万元分别竞得宗地编号为G12097、G12098地块的国有建设用地使用权。黄石供应链目前仍处于筹建期。截止2012年12月31日，其总资产为3,509.56万元，净资产为1,998.31万元，2012年度亏损1.69万元（上述财务数据未经审计）。5、重大在建工程项目变动情况参见第十一节“财务报告”之“二、财务报告”之“9、2012年度财务报表附注”之“（五）合并财务报表项目注释”之“8、在建工程”。七、公司未来发展的展望1、行业整体情况据行业研究机构Prismark统计和预测，受全球经济不景气影响，2012年全球PCB市场供求总量下降2%；2013年全球PCB市场情况将有所好转，供求总量有望较</w:t>
      </w:r>
      <w:r w:rsidRPr="00BB65E0">
        <w:rPr>
          <w:lang w:eastAsia="zh-CN"/>
        </w:rPr>
        <w:t>2012年增长3.2%。2013年中国PCB市场的增长率约为6.8%左右，其中公司核心产品18层以上超高层板的增长率将有望达到25.4%。2013/2012PCB细分市场年增长率预测注：亚洲指除中国、日本外的其他亚洲国家数据来源：Prismark研究报告未来五年全球和中国PCB市场年均复合增长率分别为</w:t>
      </w:r>
      <w:r>
        <w:rPr>
          <w:lang w:eastAsia="zh-CN"/>
        </w:rPr>
        <w:t>3.9%和6.0%。预计到2017年，全球PCB市场总产值将达到656.54亿美元，中国市场将达到289.72亿美元。未来五年全球PCB市场预测单位：百万美元20132014201520162017复合地区增长增长率产值增长率产值增长率产值增长率产值增长率产值率美洲-3.1%3,486-2.0%3,4161.0%3,4500.5%3,4690.6%3,491-0.6%欧洲-5.8%2,204-5.0%2,0940.0%2,0940.5%2,1030.0%2,103-2.1%日本-9.7%8,156-8.0%7,503-4.5%7,166-3.0%6,951-0.9%6,891-5.3%中国6.8%23,0987.8%24,9006.5%26,5195.1%27,8584.0%28,9726.0%亚洲8.0%19,1278.5%20,7537.0%22,2064.7%23,2504.1%24,1976.4%总计3.2%56,0714.6%58,6664.7%61,4343.6%63,6303.2%65,6543.9%注：亚洲指除中国、日本外的其他亚洲国家数据来源：Prismark研究报告同时，随着</w:t>
      </w:r>
      <w:r>
        <w:rPr>
          <w:highlight w:val="red"/>
          <w:lang w:eastAsia="zh-CN"/>
        </w:rPr>
        <w:t>LTE通信</w:t>
      </w:r>
      <w:r>
        <w:rPr>
          <w:lang w:eastAsia="zh-CN"/>
        </w:rPr>
        <w:t>技术的不断成熟，</w:t>
      </w:r>
      <w:r>
        <w:rPr>
          <w:highlight w:val="red"/>
          <w:lang w:eastAsia="zh-CN"/>
        </w:rPr>
        <w:t>3G网络</w:t>
      </w:r>
      <w:r>
        <w:rPr>
          <w:lang w:eastAsia="zh-CN"/>
        </w:rPr>
        <w:t>向</w:t>
      </w:r>
      <w:r>
        <w:rPr>
          <w:highlight w:val="red"/>
          <w:lang w:eastAsia="zh-CN"/>
        </w:rPr>
        <w:t>4GLTE网络</w:t>
      </w:r>
      <w:r>
        <w:rPr>
          <w:lang w:eastAsia="zh-CN"/>
        </w:rPr>
        <w:t>升级在全球已是大势所趋，技术升级将引发对</w:t>
      </w:r>
      <w:r>
        <w:rPr>
          <w:highlight w:val="red"/>
          <w:lang w:eastAsia="zh-CN"/>
        </w:rPr>
        <w:t>通信设备</w:t>
      </w:r>
      <w:r>
        <w:rPr>
          <w:lang w:eastAsia="zh-CN"/>
        </w:rPr>
        <w:t>用</w:t>
      </w:r>
      <w:r>
        <w:rPr>
          <w:highlight w:val="red"/>
          <w:lang w:eastAsia="zh-CN"/>
        </w:rPr>
        <w:t>PCB</w:t>
      </w:r>
      <w:r>
        <w:rPr>
          <w:lang w:eastAsia="zh-CN"/>
        </w:rPr>
        <w:t>的大量需求，公司作为领先的企业通讯市场</w:t>
      </w:r>
      <w:r>
        <w:rPr>
          <w:highlight w:val="red"/>
          <w:lang w:eastAsia="zh-CN"/>
        </w:rPr>
        <w:t>PCB</w:t>
      </w:r>
      <w:r>
        <w:rPr>
          <w:lang w:eastAsia="zh-CN"/>
        </w:rPr>
        <w:t>生产厂商，可以合理估计未来几年将明显受益于全球</w:t>
      </w:r>
      <w:r>
        <w:rPr>
          <w:highlight w:val="red"/>
          <w:lang w:eastAsia="zh-CN"/>
        </w:rPr>
        <w:t>4GLTE网络</w:t>
      </w:r>
      <w:r>
        <w:rPr>
          <w:lang w:eastAsia="zh-CN"/>
        </w:rPr>
        <w:t>的普及。2、对公司未来发展的展望近年来，公司在行业中的竞争地位一直保持着稳步提高的态势，未来几年，随着老厂区整体搬迁完成、公司募投、黄石新项目的逐步投产，公司仍将在较长一段时间内保持这种良好的发展态势。（1）整体发展战略及经营策略坚</w:t>
      </w:r>
      <w:r w:rsidRPr="00BB65E0">
        <w:rPr>
          <w:lang w:eastAsia="zh-CN"/>
        </w:rPr>
        <w:t>持实施差异化产品竞争战略，即依靠技术、管理和服务的比较竞争优势，重点生产技术含量高、应用领域相对高端的差异化产品，避免生产准入门槛低、市场竞争激烈的标准化产品。公司将</w:t>
      </w:r>
      <w:r>
        <w:rPr>
          <w:lang w:eastAsia="zh-CN"/>
        </w:rPr>
        <w:t>立足于印制</w:t>
      </w:r>
      <w:r>
        <w:rPr>
          <w:highlight w:val="red"/>
          <w:lang w:eastAsia="zh-CN"/>
        </w:rPr>
        <w:t>电路板</w:t>
      </w:r>
      <w:r>
        <w:rPr>
          <w:lang w:eastAsia="zh-CN"/>
        </w:rPr>
        <w:t>行业的巨大发展空间，紧紧抓住发展机遇，充分</w:t>
      </w:r>
      <w:r>
        <w:rPr>
          <w:lang w:eastAsia="zh-CN"/>
        </w:rPr>
        <w:lastRenderedPageBreak/>
        <w:t>利用自身优势，实现经营目标。力争经过3-5年的努力，实现在企业通讯市场细分领域全球领先的战略目标。（2）公司发展计划（a）产品研发计划坚持以市场为导向，不断开发生产适销对路的产品，扩大绿色环保型、替代进口型等高技术含量</w:t>
      </w:r>
      <w:r>
        <w:rPr>
          <w:highlight w:val="red"/>
          <w:lang w:eastAsia="zh-CN"/>
        </w:rPr>
        <w:t>PCB</w:t>
      </w:r>
      <w:r>
        <w:rPr>
          <w:lang w:eastAsia="zh-CN"/>
        </w:rPr>
        <w:t>产品所占比重，逐步形成可持续发展的产品开发体系。公司将围绕企业通讯</w:t>
      </w:r>
      <w:r>
        <w:rPr>
          <w:highlight w:val="red"/>
          <w:lang w:eastAsia="zh-CN"/>
        </w:rPr>
        <w:t>市场板</w:t>
      </w:r>
      <w:r>
        <w:rPr>
          <w:lang w:eastAsia="zh-CN"/>
        </w:rPr>
        <w:t>、</w:t>
      </w:r>
      <w:r>
        <w:rPr>
          <w:highlight w:val="red"/>
          <w:lang w:eastAsia="zh-CN"/>
        </w:rPr>
        <w:t>汽车板</w:t>
      </w:r>
      <w:r>
        <w:rPr>
          <w:lang w:eastAsia="zh-CN"/>
        </w:rPr>
        <w:t>、</w:t>
      </w:r>
      <w:r>
        <w:rPr>
          <w:highlight w:val="red"/>
          <w:lang w:eastAsia="zh-CN"/>
        </w:rPr>
        <w:t>办公</w:t>
      </w:r>
      <w:r>
        <w:rPr>
          <w:lang w:eastAsia="zh-CN"/>
        </w:rPr>
        <w:t>及</w:t>
      </w:r>
      <w:r>
        <w:rPr>
          <w:highlight w:val="red"/>
          <w:lang w:eastAsia="zh-CN"/>
        </w:rPr>
        <w:t>工业设备板</w:t>
      </w:r>
      <w:r>
        <w:rPr>
          <w:lang w:eastAsia="zh-CN"/>
        </w:rPr>
        <w:t>三大产品方向，依托公司本身的技术开发和应用能力，发展系列化产品，致力提升新产品及高端产品比重，并注重产品之间的互补性，以降低市场风险。通过实施募集资金投资项目，公司计划在未来持续提升主导产品的技术水平和生产能力，进一步提升新产品研发和生产的快速反应能力。（b）人力资源发展计划公司将秉承“以人为本”的理念，加强企业文化建设，构筑包括科研人员、管理人员、业务人员在内的高层次人才平台，进而使公司逐步拥有一支专业化、高素质、结构合理、具有高度凝聚力的人才队伍。加大教育训练投入以提升员工职业技能和职业发展能力。同时加强绩效考核，提升人力效率。根据公司发展战略规划以及整体经营目标，公司还将计划引进高端人才，优化人才结构，打造国际化经营管理团队。（c）市场开发规划通过建立和完善公司管理制度、流程，实现区域市场管理体系化、服务快捷化，提高客户需求的快速响应速度。利用公司行业龙头优势和客户资源优势，加强与现有客户的合作深度，争取更多高端PCB采购订单。同时适度调整营销策略，积极开拓国内市场，加大内销力度。积极开拓新客户，在国内市场上，充分发挥品质、技术和成本优势，增强国内客户开发力度，提高在国内市场占有率；在国外市场上，公司将以代理销售方式稳定拓展与海外客户的业务关系，进一步发挥代理商资源优势和成本优势，巩固和发展与全球知名电子设备制造企业的业务合作关系，成为其全球供应链重要的一环。（d）收购兼并及对外投资计划公司将充分利用自身竞争优势，以控制风险、优势互补、提高效益为原则，在适当时机收购兼并或者与印制</w:t>
      </w:r>
      <w:r>
        <w:rPr>
          <w:highlight w:val="red"/>
          <w:lang w:eastAsia="zh-CN"/>
        </w:rPr>
        <w:t>电路板</w:t>
      </w:r>
      <w:r>
        <w:rPr>
          <w:lang w:eastAsia="zh-CN"/>
        </w:rPr>
        <w:t>产业链相关优势企业建立互惠互利的战略联盟，增强公司整体抗风险的能力，提升细分市场的占有率和竞争力，保障公司持续稳定健康的发展。顺应</w:t>
      </w:r>
      <w:r>
        <w:rPr>
          <w:highlight w:val="red"/>
          <w:lang w:eastAsia="zh-CN"/>
        </w:rPr>
        <w:t>PCB</w:t>
      </w:r>
      <w:r>
        <w:rPr>
          <w:lang w:eastAsia="zh-CN"/>
        </w:rPr>
        <w:t>产业转移趋势，向中西部布局发展，有效扩充公司产能，打造内销平台，扩大公司的销售规模，进一步提高公司产品的市场占有率，稳固公司行业领先的地位，实现公司跨越式发展。（e）成本控制计划为进一步加强成本管理，以生产技术、生产工艺创新及管理水平提升带动成本循环改善，将改善成果转化为新的管控标准。凭借信息化管理手段，为执行各项管控标准提供长效而及时的监控，进而有效巩固改善成果。（f）深化改革和组织结构调整规划在法人治理层面，公司将不断完善法人治理结构，形成决策层、执行层、监管层结构清晰、相互制衡的运作机制，建立健全法人治理相关制度和议事规则，实现公司决策科学高效、监督制约有力、执行规范顺畅。在信息披露方面，公司将建立完善的信息披露机制，加强与公众的沟通交流，树立和维护公司良好的市场形象，进一步提高公司知名度与美誉度。在内部控制方面，将由董事会负责，公司管理层及全体员工共同参与，制定和实施内控制度，确保相关制度规范的完整性、合理性和实施的有效性，覆盖公司经营活动的所有层面和环节，以提高公司经营的效果与效率，增强公司信息披露真实性、准确性和完整性，确保公司行为合法合规。3、2013年度经营计划公司2013年度财务预算（合并报表口径）如下：主营业收入314,653万元，利润总额37,023万元，归属于上市公司股东的净利润31,531万元，经营活动产生的现金流量净额47,345万元。上述经营计划，是在相关假设条件下制定的，并不代表公司对2013年度的盈利预测，能否实现取决于宏观经济形势、市场状况变化等多种因素，</w:t>
      </w:r>
      <w:r>
        <w:rPr>
          <w:lang w:eastAsia="zh-CN"/>
        </w:rPr>
        <w:lastRenderedPageBreak/>
        <w:t>存在很大的不确定性，请投资者特别注意。4、公司面临的风险及应对措施（1）行业与市场竞争风险PCB行业作为电子工业的基础元器件行业，其供求变化受宏观经济形势的影响较大，同时PCB行业集中度较低、市场竞争较为激烈。虽然公司具有明显的核心竞争优势，但如果不能有效应对日益激烈的市场竞争，将会对公司的业绩产生不利影响。公司将依照既定的整体发展战略及经营策略，不断强化并充分利用自身优势，积极应对市场竞争。（2）汇率风险公司主营业务收入对美元兑人民币汇率相对敏感，如果汇率发生重大变化，将会直接影响公司进口原材料成本和出口产品售价，产生汇兑损益，进而影响公司净利润。公司主要采用合理安排外币结构和数量、平衡外币收支的方法来控制汇率风险，并根据汇率市场走势安排外币存贷款的期限结构，避免汇兑损益对经营业绩造成的不利影响。（3）出口产品退税政策变化风险公司出口产品销售的增值税采用“免抵退”政策，退税率17%，未来如果国家相关退税政策发生变化，将会对公司的经营业绩产生不利影响。为防范出口退税政策变动对公司的不利影响，公司近年来稳步拓展国内市场，提升内销比例。（4）产品质量控制风险</w:t>
      </w:r>
      <w:r>
        <w:rPr>
          <w:highlight w:val="red"/>
          <w:lang w:eastAsia="zh-CN"/>
        </w:rPr>
        <w:t>PCB</w:t>
      </w:r>
      <w:r>
        <w:rPr>
          <w:lang w:eastAsia="zh-CN"/>
        </w:rPr>
        <w:t>作为</w:t>
      </w:r>
      <w:r>
        <w:rPr>
          <w:highlight w:val="red"/>
          <w:lang w:eastAsia="zh-CN"/>
        </w:rPr>
        <w:t>电子</w:t>
      </w:r>
      <w:r>
        <w:rPr>
          <w:lang w:eastAsia="zh-CN"/>
        </w:rPr>
        <w:t>产品的基础元器件，是其它元器件的载体，如果发生质量问题，则包含所有接插在其上的元器件在内的整块集成</w:t>
      </w:r>
      <w:r>
        <w:rPr>
          <w:highlight w:val="red"/>
          <w:lang w:eastAsia="zh-CN"/>
        </w:rPr>
        <w:t>电路板</w:t>
      </w:r>
      <w:r>
        <w:rPr>
          <w:lang w:eastAsia="zh-CN"/>
        </w:rPr>
        <w:t>会全部报废，所以客户对</w:t>
      </w:r>
      <w:r>
        <w:rPr>
          <w:highlight w:val="red"/>
          <w:lang w:eastAsia="zh-CN"/>
        </w:rPr>
        <w:t>PCB</w:t>
      </w:r>
      <w:r>
        <w:rPr>
          <w:lang w:eastAsia="zh-CN"/>
        </w:rPr>
        <w:t>的产品质量要求较高。如果公司不能有效控制产品质量，相应的赔偿风险将会对公司净利润产生一定影响。公司将持续强化内部管理，同时不断优化作业流程、提高信息化管理程度、落实控制流程，全面提升产品质量，同时公司为部分产品购买了产品质任险、错误疏漏险等保险。八、与上年度财务报告相比，合并报表范围发生变化的情况说明2012年2月27日，公司在黄石投资设立全资子公司黄石沪士电子有限公司，作为在黄石经济技术开发区黄金山工业新区内投资建设印制</w:t>
      </w:r>
      <w:r>
        <w:rPr>
          <w:highlight w:val="red"/>
          <w:lang w:eastAsia="zh-CN"/>
        </w:rPr>
        <w:t>电路板</w:t>
      </w:r>
      <w:r>
        <w:rPr>
          <w:lang w:eastAsia="zh-CN"/>
        </w:rPr>
        <w:t>项目主体，注册资本为人民币3亿元。2012年5月21日，公司在黄石投资设立全资子公司黄石沪士供应链管理有限公司，注册资本为人民币2,000万元，为黄石沪士电子有限公司提供供应链管理及相关配套服务而设立。九、公司利润分配及分红派息情况报告期内利润分配政策特别是现金分红政策的制定、执行或调整情况本公司自2010年8月18日上市以来，在兼顾公司可持续发展的前提下，历来重视投资者合理投资回报。2012年8月2日，公司2012年第二次临时股东大会审议通过了《关于修订&lt;公司章程&gt;的议案》，在《公司章程》中落实了现金分红有关事项，完备了现金分红的决策程序和机制，规范了现金分红的标准和比例、分配时间间隔等事项，引入了独立董事监督以及听取中小股东意见和诉求，维护中小股东合法权益的机制。本年度利润分配及资本公积金转增股本预案√适用□不适用（a）以截止2012年12月31日母公司累积未分配利润的向全体股东每10股派发现金2元（含税），本次共分配现金232,522,189.4元；（b）以母公司资本公积金向全体股东每10股转2股，共计转增232,522,189股。公司近3年（含报告期）的利润分配方案及资本公积金转增股本方案情况1、2010年度权益分派方案为：以公司现有总股本692,030,326股为基数，向全体股东每10股派2元人民币现金（含税）；同时，以资本公积金向全体股东每10股转增2股。2、2011年度权益分派方案为：以公司现有总股本830,436,391股为基数，向全体股东每10股派1.00元人民币现金（含税）；同时，以资本公积金向全体股东每10股转增4股。公司近三年现金分红情况表公司报告期内盈利且母公司未分配利润为正但未提出现金红利分配预案□适用√不适用十、社会责任情况报告期，公司秉持―成长、长青、共利‖的经营理念，合法合规运营，把为社会创造繁荣作为应当承担社会责任的一项承诺，长期致力</w:t>
      </w:r>
      <w:r>
        <w:rPr>
          <w:lang w:eastAsia="zh-CN"/>
        </w:rPr>
        <w:lastRenderedPageBreak/>
        <w:t>于经济发展，积极回报投资者；以自身发展影响和带动地方经济的振兴。与客户建立良好关系，为客户提供合格产品，完善售后服务，实现共赢。公司在追求经济效益的同时注重环境保护和节能降耗，把建设资源节约型和环境友好型企业作为可持续发展战略的重要内容，在节能降耗的同时不断改善周边社区生活环境，获苏州市人民政府颁发的苏州市能效之星。公司为员工提供安全、舒适的工作环境，具有竞争力的薪资待遇，关注员工身心健康，组织足球、羽乒、篮球比赛、亲子宝宝秀、单身交友派对、员工旅游等活动，丰富员工业余生活，并为员工提供良好的培训和晋升渠道。十一、报告期内接待调研、沟通、采访等活动登记表报告期，公司接待调研、沟通、采访的接待地点均在公司会议室；接待方式均为实地调研；接待的对象类型均为机构投资者。十二、公司信息披露指定媒体及公告索引公司选定的信息披露报纸为《证券时报》、《上海证券报》，指定信息披露网站为巨潮资讯网（http://www.cninfo.com.cn），报告期内公司公告索引如下：</w:t>
      </w:r>
    </w:p>
    <w:sectPr w:rsidR="000166C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BAF4CE" w14:textId="77777777" w:rsidR="003F173D" w:rsidRDefault="003F173D">
      <w:pPr>
        <w:spacing w:line="240" w:lineRule="auto"/>
      </w:pPr>
      <w:r>
        <w:separator/>
      </w:r>
    </w:p>
  </w:endnote>
  <w:endnote w:type="continuationSeparator" w:id="0">
    <w:p w14:paraId="57DEDAAF" w14:textId="77777777" w:rsidR="003F173D" w:rsidRDefault="003F173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24294C" w14:textId="77777777" w:rsidR="003F173D" w:rsidRDefault="003F173D">
      <w:pPr>
        <w:spacing w:after="0"/>
      </w:pPr>
      <w:r>
        <w:separator/>
      </w:r>
    </w:p>
  </w:footnote>
  <w:footnote w:type="continuationSeparator" w:id="0">
    <w:p w14:paraId="79173BD3" w14:textId="77777777" w:rsidR="003F173D" w:rsidRDefault="003F173D">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FFFFF7E"/>
    <w:lvl w:ilvl="0">
      <w:start w:val="1"/>
      <w:numFmt w:val="decimal"/>
      <w:pStyle w:val="3"/>
      <w:lvlText w:val="%1."/>
      <w:lvlJc w:val="left"/>
      <w:pPr>
        <w:tabs>
          <w:tab w:val="left" w:pos="1080"/>
        </w:tabs>
        <w:ind w:left="1080" w:hanging="360"/>
      </w:pPr>
    </w:lvl>
  </w:abstractNum>
  <w:abstractNum w:abstractNumId="1" w15:restartNumberingAfterBreak="0">
    <w:nsid w:val="FFFFFF7F"/>
    <w:multiLevelType w:val="singleLevel"/>
    <w:tmpl w:val="FFFFFF7F"/>
    <w:lvl w:ilvl="0">
      <w:start w:val="1"/>
      <w:numFmt w:val="decimal"/>
      <w:pStyle w:val="2"/>
      <w:lvlText w:val="%1."/>
      <w:lvlJc w:val="left"/>
      <w:pPr>
        <w:tabs>
          <w:tab w:val="left" w:pos="720"/>
        </w:tabs>
        <w:ind w:left="720" w:hanging="360"/>
      </w:pPr>
    </w:lvl>
  </w:abstractNum>
  <w:abstractNum w:abstractNumId="2" w15:restartNumberingAfterBreak="0">
    <w:nsid w:val="FFFFFF82"/>
    <w:multiLevelType w:val="singleLevel"/>
    <w:tmpl w:val="FFFFFF82"/>
    <w:lvl w:ilvl="0">
      <w:start w:val="1"/>
      <w:numFmt w:val="bullet"/>
      <w:pStyle w:val="30"/>
      <w:lvlText w:val=""/>
      <w:lvlJc w:val="left"/>
      <w:pPr>
        <w:tabs>
          <w:tab w:val="left" w:pos="1080"/>
        </w:tabs>
        <w:ind w:left="1080" w:hanging="360"/>
      </w:pPr>
      <w:rPr>
        <w:rFonts w:ascii="Symbol" w:hAnsi="Symbol" w:hint="default"/>
      </w:rPr>
    </w:lvl>
  </w:abstractNum>
  <w:abstractNum w:abstractNumId="3" w15:restartNumberingAfterBreak="0">
    <w:nsid w:val="FFFFFF83"/>
    <w:multiLevelType w:val="singleLevel"/>
    <w:tmpl w:val="FFFFFF83"/>
    <w:lvl w:ilvl="0">
      <w:start w:val="1"/>
      <w:numFmt w:val="bullet"/>
      <w:pStyle w:val="20"/>
      <w:lvlText w:val=""/>
      <w:lvlJc w:val="left"/>
      <w:pPr>
        <w:tabs>
          <w:tab w:val="left" w:pos="720"/>
        </w:tabs>
        <w:ind w:left="720" w:hanging="360"/>
      </w:pPr>
      <w:rPr>
        <w:rFonts w:ascii="Symbol" w:hAnsi="Symbol" w:hint="default"/>
      </w:rPr>
    </w:lvl>
  </w:abstractNum>
  <w:abstractNum w:abstractNumId="4" w15:restartNumberingAfterBreak="0">
    <w:nsid w:val="FFFFFF88"/>
    <w:multiLevelType w:val="singleLevel"/>
    <w:tmpl w:val="FFFFFF88"/>
    <w:lvl w:ilvl="0">
      <w:start w:val="1"/>
      <w:numFmt w:val="decimal"/>
      <w:pStyle w:val="a"/>
      <w:lvlText w:val="%1."/>
      <w:lvlJc w:val="left"/>
      <w:pPr>
        <w:tabs>
          <w:tab w:val="left" w:pos="360"/>
        </w:tabs>
        <w:ind w:left="360" w:hanging="360"/>
      </w:pPr>
    </w:lvl>
  </w:abstractNum>
  <w:abstractNum w:abstractNumId="5" w15:restartNumberingAfterBreak="0">
    <w:nsid w:val="FFFFFF89"/>
    <w:multiLevelType w:val="singleLevel"/>
    <w:tmpl w:val="FFFFFF89"/>
    <w:lvl w:ilvl="0">
      <w:start w:val="1"/>
      <w:numFmt w:val="bullet"/>
      <w:pStyle w:val="a0"/>
      <w:lvlText w:val=""/>
      <w:lvlJc w:val="left"/>
      <w:pPr>
        <w:tabs>
          <w:tab w:val="left" w:pos="360"/>
        </w:tabs>
        <w:ind w:left="360" w:hanging="360"/>
      </w:pPr>
      <w:rPr>
        <w:rFonts w:ascii="Symbol" w:hAnsi="Symbol" w:hint="default"/>
      </w:rPr>
    </w:lvl>
  </w:abstractNum>
  <w:num w:numId="1" w16cid:durableId="1815560199">
    <w:abstractNumId w:val="1"/>
  </w:num>
  <w:num w:numId="2" w16cid:durableId="151142830">
    <w:abstractNumId w:val="4"/>
  </w:num>
  <w:num w:numId="3" w16cid:durableId="1220290233">
    <w:abstractNumId w:val="5"/>
  </w:num>
  <w:num w:numId="4" w16cid:durableId="1670905909">
    <w:abstractNumId w:val="2"/>
  </w:num>
  <w:num w:numId="5" w16cid:durableId="1577662188">
    <w:abstractNumId w:val="0"/>
  </w:num>
  <w:num w:numId="6" w16cid:durableId="24735149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ZGIwYmQyMWJkYmYzNzg1NjdlMDUwNDgxZjkxYTViMTkifQ=="/>
  </w:docVars>
  <w:rsids>
    <w:rsidRoot w:val="00B47730"/>
    <w:rsid w:val="000166C7"/>
    <w:rsid w:val="00034616"/>
    <w:rsid w:val="0006063C"/>
    <w:rsid w:val="0015074B"/>
    <w:rsid w:val="0029639D"/>
    <w:rsid w:val="00326F90"/>
    <w:rsid w:val="003F173D"/>
    <w:rsid w:val="00757F43"/>
    <w:rsid w:val="00AA1D8D"/>
    <w:rsid w:val="00B47730"/>
    <w:rsid w:val="00BB65E0"/>
    <w:rsid w:val="00CB0664"/>
    <w:rsid w:val="00FC693F"/>
    <w:rsid w:val="04497378"/>
    <w:rsid w:val="06BB2083"/>
    <w:rsid w:val="097F3743"/>
    <w:rsid w:val="0DF06AB6"/>
    <w:rsid w:val="0E4B0190"/>
    <w:rsid w:val="11EF3045"/>
    <w:rsid w:val="2E823302"/>
    <w:rsid w:val="365612FD"/>
    <w:rsid w:val="3CE07B72"/>
    <w:rsid w:val="3DAC3EF8"/>
    <w:rsid w:val="494B2817"/>
    <w:rsid w:val="5C9D10A0"/>
    <w:rsid w:val="5D5C4B9B"/>
    <w:rsid w:val="5F64717F"/>
    <w:rsid w:val="5FA36AB1"/>
    <w:rsid w:val="68C6381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60C2E9F"/>
  <w14:defaultImageDpi w14:val="300"/>
  <w15:docId w15:val="{894E845D-23D6-4363-B59A-7C0E042EE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unhideWhenUsed="1"/>
    <w:lsdException w:name="toa heading" w:semiHidden="1" w:unhideWhenUsed="1"/>
    <w:lsdException w:name="List" w:unhideWhenUsed="1" w:qFormat="1"/>
    <w:lsdException w:name="List Bullet" w:unhideWhenUsed="1" w:qFormat="1"/>
    <w:lsdException w:name="List Number" w:unhideWhenUsed="1" w:qFormat="1"/>
    <w:lsdException w:name="List 2" w:unhideWhenUsed="1" w:qFormat="1"/>
    <w:lsdException w:name="List 3" w:unhideWhenUsed="1" w:qFormat="1"/>
    <w:lsdException w:name="List 4" w:semiHidden="1" w:unhideWhenUsed="1"/>
    <w:lsdException w:name="List 5" w:semiHidden="1" w:unhideWhenUsed="1"/>
    <w:lsdException w:name="List Bullet 2" w:unhideWhenUsed="1" w:qFormat="1"/>
    <w:lsdException w:name="List Bullet 3" w:unhideWhenUsed="1"/>
    <w:lsdException w:name="List Bullet 4" w:semiHidden="1" w:unhideWhenUsed="1"/>
    <w:lsdException w:name="List Bullet 5" w:semiHidden="1" w:unhideWhenUsed="1"/>
    <w:lsdException w:name="List Number 2" w:unhideWhenUsed="1" w:qFormat="1"/>
    <w:lsdException w:name="List Number 3" w:unhideWhenUsed="1" w:qFormat="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nhideWhenUsed="1" w:qFormat="1"/>
    <w:lsdException w:name="Body Text Indent" w:semiHidden="1" w:unhideWhenUsed="1"/>
    <w:lsdException w:name="List Continue" w:unhideWhenUsed="1" w:qFormat="1"/>
    <w:lsdException w:name="List Continue 2" w:unhideWhenUsed="1" w:qFormat="1"/>
    <w:lsdException w:name="List Continue 3" w:unhideWhenUsed="1" w:qFormat="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nhideWhenUsed="1" w:qFormat="1"/>
    <w:lsdException w:name="Body Text 3"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qFormat="1"/>
    <w:lsdException w:name="Medium Shading 2" w:uiPriority="64"/>
    <w:lsdException w:name="Medium List 1" w:uiPriority="65"/>
    <w:lsdException w:name="Medium List 2" w:uiPriority="66" w:qFormat="1"/>
    <w:lsdException w:name="Medium Grid 1" w:uiPriority="67" w:qFormat="1"/>
    <w:lsdException w:name="Medium Grid 2" w:uiPriority="68" w:qFormat="1"/>
    <w:lsdException w:name="Medium Grid 3" w:uiPriority="69"/>
    <w:lsdException w:name="Dark List" w:uiPriority="70" w:qFormat="1"/>
    <w:lsdException w:name="Colorful Shading" w:uiPriority="71" w:qFormat="1"/>
    <w:lsdException w:name="Colorful List" w:uiPriority="72" w:qFormat="1"/>
    <w:lsdException w:name="Colorful Grid" w:uiPriority="73" w:qFormat="1"/>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qFormat="1"/>
    <w:lsdException w:name="Medium List 1 Accent 1" w:uiPriority="65" w:qFormat="1"/>
    <w:lsdException w:name="Revision" w:semiHidden="1"/>
    <w:lsdException w:name="List Paragraph" w:uiPriority="34" w:qFormat="1"/>
    <w:lsdException w:name="Quote" w:uiPriority="29" w:qFormat="1"/>
    <w:lsdException w:name="Intense Quote" w:uiPriority="30" w:qFormat="1"/>
    <w:lsdException w:name="Medium List 2 Accent 1" w:uiPriority="66" w:qFormat="1"/>
    <w:lsdException w:name="Medium Grid 1 Accent 1" w:uiPriority="67" w:qFormat="1"/>
    <w:lsdException w:name="Medium Grid 2 Accent 1" w:uiPriority="68"/>
    <w:lsdException w:name="Medium Grid 3 Accent 1" w:uiPriority="69"/>
    <w:lsdException w:name="Dark List Accent 1" w:uiPriority="70" w:qFormat="1"/>
    <w:lsdException w:name="Colorful Shading Accent 1" w:uiPriority="71" w:qFormat="1"/>
    <w:lsdException w:name="Colorful List Accent 1" w:uiPriority="72"/>
    <w:lsdException w:name="Colorful Grid Accent 1" w:uiPriority="73" w:qFormat="1"/>
    <w:lsdException w:name="Light Shading Accent 2" w:uiPriority="60" w:qFormat="1"/>
    <w:lsdException w:name="Light List Accent 2" w:uiPriority="61" w:qFormat="1"/>
    <w:lsdException w:name="Light Grid Accent 2" w:uiPriority="62"/>
    <w:lsdException w:name="Medium Shading 1 Accent 2" w:uiPriority="63"/>
    <w:lsdException w:name="Medium Shading 2 Accent 2" w:uiPriority="64" w:qFormat="1"/>
    <w:lsdException w:name="Medium List 1 Accent 2" w:uiPriority="65"/>
    <w:lsdException w:name="Medium List 2 Accent 2" w:uiPriority="66" w:qFormat="1"/>
    <w:lsdException w:name="Medium Grid 1 Accent 2" w:uiPriority="67"/>
    <w:lsdException w:name="Medium Grid 2 Accent 2" w:uiPriority="68" w:qFormat="1"/>
    <w:lsdException w:name="Medium Grid 3 Accent 2" w:uiPriority="69" w:qFormat="1"/>
    <w:lsdException w:name="Dark List Accent 2" w:uiPriority="70" w:qFormat="1"/>
    <w:lsdException w:name="Colorful Shading Accent 2" w:uiPriority="71" w:qFormat="1"/>
    <w:lsdException w:name="Colorful List Accent 2" w:uiPriority="72" w:qFormat="1"/>
    <w:lsdException w:name="Colorful Grid Accent 2" w:uiPriority="73" w:qFormat="1"/>
    <w:lsdException w:name="Light Shading Accent 3" w:uiPriority="60" w:qFormat="1"/>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qFormat="1"/>
    <w:lsdException w:name="Medium List 2 Accent 3" w:uiPriority="66" w:qFormat="1"/>
    <w:lsdException w:name="Medium Grid 1 Accent 3" w:uiPriority="67" w:qFormat="1"/>
    <w:lsdException w:name="Medium Grid 2 Accent 3" w:uiPriority="68" w:qFormat="1"/>
    <w:lsdException w:name="Medium Grid 3 Accent 3" w:uiPriority="69" w:qFormat="1"/>
    <w:lsdException w:name="Dark List Accent 3" w:uiPriority="70" w:qFormat="1"/>
    <w:lsdException w:name="Colorful Shading Accent 3" w:uiPriority="71" w:qFormat="1"/>
    <w:lsdException w:name="Colorful List Accent 3" w:uiPriority="72" w:qFormat="1"/>
    <w:lsdException w:name="Colorful Grid Accent 3" w:uiPriority="73" w:qFormat="1"/>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qFormat="1"/>
    <w:lsdException w:name="Medium List 1 Accent 4" w:uiPriority="65" w:qFormat="1"/>
    <w:lsdException w:name="Medium List 2 Accent 4" w:uiPriority="66"/>
    <w:lsdException w:name="Medium Grid 1 Accent 4" w:uiPriority="67" w:qFormat="1"/>
    <w:lsdException w:name="Medium Grid 2 Accent 4" w:uiPriority="68"/>
    <w:lsdException w:name="Medium Grid 3 Accent 4" w:uiPriority="69" w:qFormat="1"/>
    <w:lsdException w:name="Dark List Accent 4" w:uiPriority="70"/>
    <w:lsdException w:name="Colorful Shading Accent 4" w:uiPriority="71" w:qFormat="1"/>
    <w:lsdException w:name="Colorful List Accent 4" w:uiPriority="72"/>
    <w:lsdException w:name="Colorful Grid Accent 4" w:uiPriority="73" w:qFormat="1"/>
    <w:lsdException w:name="Light Shading Accent 5" w:uiPriority="60" w:qFormat="1"/>
    <w:lsdException w:name="Light List Accent 5" w:uiPriority="61"/>
    <w:lsdException w:name="Light Grid Accent 5" w:uiPriority="62" w:qFormat="1"/>
    <w:lsdException w:name="Medium Shading 1 Accent 5" w:uiPriority="63"/>
    <w:lsdException w:name="Medium Shading 2 Accent 5" w:uiPriority="64"/>
    <w:lsdException w:name="Medium List 1 Accent 5" w:uiPriority="65" w:qFormat="1"/>
    <w:lsdException w:name="Medium List 2 Accent 5" w:uiPriority="66" w:qFormat="1"/>
    <w:lsdException w:name="Medium Grid 1 Accent 5" w:uiPriority="67" w:qFormat="1"/>
    <w:lsdException w:name="Medium Grid 2 Accent 5" w:uiPriority="68" w:qFormat="1"/>
    <w:lsdException w:name="Medium Grid 3 Accent 5" w:uiPriority="69" w:qFormat="1"/>
    <w:lsdException w:name="Dark List Accent 5" w:uiPriority="70" w:qFormat="1"/>
    <w:lsdException w:name="Colorful Shading Accent 5" w:uiPriority="71" w:qFormat="1"/>
    <w:lsdException w:name="Colorful List Accent 5" w:uiPriority="72" w:qFormat="1"/>
    <w:lsdException w:name="Colorful Grid Accent 5" w:uiPriority="73" w:qFormat="1"/>
    <w:lsdException w:name="Light Shading Accent 6" w:uiPriority="60"/>
    <w:lsdException w:name="Light List Accent 6" w:uiPriority="61"/>
    <w:lsdException w:name="Light Grid Accent 6" w:uiPriority="62"/>
    <w:lsdException w:name="Medium Shading 1 Accent 6" w:uiPriority="63" w:qFormat="1"/>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qFormat="1"/>
    <w:lsdException w:name="Colorful Shading Accent 6" w:uiPriority="71" w:qFormat="1"/>
    <w:lsdException w:name="Colorful List Accent 6" w:uiPriority="72"/>
    <w:lsdException w:name="Colorful Grid Accent 6" w:uiPriority="73" w:qFormat="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pPr>
      <w:spacing w:after="200" w:line="276" w:lineRule="auto"/>
    </w:pPr>
    <w:rPr>
      <w:rFonts w:ascii="宋体" w:eastAsia="宋体" w:hAnsi="宋体"/>
      <w:sz w:val="22"/>
      <w:szCs w:val="22"/>
      <w:lang w:eastAsia="en-US"/>
    </w:rPr>
  </w:style>
  <w:style w:type="paragraph" w:styleId="1">
    <w:name w:val="heading 1"/>
    <w:basedOn w:val="a1"/>
    <w:next w:val="a1"/>
    <w:link w:val="10"/>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pPr>
      <w:keepNext/>
      <w:keepLines/>
      <w:spacing w:before="200" w:after="0"/>
      <w:outlineLvl w:val="4"/>
    </w:pPr>
    <w:rPr>
      <w:rFonts w:asciiTheme="majorHAnsi" w:eastAsiaTheme="majorEastAsia" w:hAnsiTheme="majorHAnsi" w:cstheme="majorBidi"/>
      <w:color w:val="244061" w:themeColor="accent1" w:themeShade="80"/>
    </w:rPr>
  </w:style>
  <w:style w:type="paragraph" w:styleId="6">
    <w:name w:val="heading 6"/>
    <w:basedOn w:val="a1"/>
    <w:next w:val="a1"/>
    <w:link w:val="60"/>
    <w:uiPriority w:val="9"/>
    <w:semiHidden/>
    <w:unhideWhenUsed/>
    <w:qFormat/>
    <w:pPr>
      <w:keepNext/>
      <w:keepLines/>
      <w:spacing w:before="200" w:after="0"/>
      <w:outlineLvl w:val="5"/>
    </w:pPr>
    <w:rPr>
      <w:rFonts w:asciiTheme="majorHAnsi" w:eastAsiaTheme="majorEastAsia" w:hAnsiTheme="majorHAnsi" w:cstheme="majorBidi"/>
      <w:i/>
      <w:iCs/>
      <w:color w:val="244061" w:themeColor="accent1" w:themeShade="80"/>
    </w:rPr>
  </w:style>
  <w:style w:type="paragraph" w:styleId="7">
    <w:name w:val="heading 7"/>
    <w:basedOn w:val="a1"/>
    <w:next w:val="a1"/>
    <w:link w:val="70"/>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macro"/>
    <w:link w:val="a6"/>
    <w:uiPriority w:val="99"/>
    <w:unhideWhenUsed/>
    <w:pPr>
      <w:tabs>
        <w:tab w:val="left" w:pos="576"/>
        <w:tab w:val="left" w:pos="1152"/>
        <w:tab w:val="left" w:pos="1728"/>
        <w:tab w:val="left" w:pos="2304"/>
        <w:tab w:val="left" w:pos="2880"/>
        <w:tab w:val="left" w:pos="3456"/>
        <w:tab w:val="left" w:pos="4032"/>
      </w:tabs>
      <w:spacing w:after="200" w:line="276" w:lineRule="auto"/>
    </w:pPr>
    <w:rPr>
      <w:rFonts w:ascii="Courier" w:hAnsi="Courier"/>
      <w:lang w:eastAsia="en-US"/>
    </w:rPr>
  </w:style>
  <w:style w:type="paragraph" w:styleId="33">
    <w:name w:val="List 3"/>
    <w:basedOn w:val="a1"/>
    <w:uiPriority w:val="99"/>
    <w:unhideWhenUsed/>
    <w:qFormat/>
    <w:pPr>
      <w:ind w:left="1080" w:hanging="360"/>
      <w:contextualSpacing/>
    </w:pPr>
  </w:style>
  <w:style w:type="paragraph" w:styleId="2">
    <w:name w:val="List Number 2"/>
    <w:basedOn w:val="a1"/>
    <w:uiPriority w:val="99"/>
    <w:unhideWhenUsed/>
    <w:qFormat/>
    <w:pPr>
      <w:numPr>
        <w:numId w:val="1"/>
      </w:numPr>
      <w:contextualSpacing/>
    </w:pPr>
  </w:style>
  <w:style w:type="paragraph" w:styleId="a">
    <w:name w:val="List Number"/>
    <w:basedOn w:val="a1"/>
    <w:uiPriority w:val="99"/>
    <w:unhideWhenUsed/>
    <w:qFormat/>
    <w:pPr>
      <w:numPr>
        <w:numId w:val="2"/>
      </w:numPr>
      <w:contextualSpacing/>
    </w:pPr>
  </w:style>
  <w:style w:type="paragraph" w:styleId="a7">
    <w:name w:val="caption"/>
    <w:basedOn w:val="a1"/>
    <w:next w:val="a1"/>
    <w:uiPriority w:val="35"/>
    <w:semiHidden/>
    <w:unhideWhenUsed/>
    <w:qFormat/>
    <w:pPr>
      <w:spacing w:line="240" w:lineRule="auto"/>
    </w:pPr>
    <w:rPr>
      <w:b/>
      <w:bCs/>
      <w:color w:val="4F81BD" w:themeColor="accent1"/>
      <w:sz w:val="18"/>
      <w:szCs w:val="18"/>
    </w:rPr>
  </w:style>
  <w:style w:type="paragraph" w:styleId="a0">
    <w:name w:val="List Bullet"/>
    <w:basedOn w:val="a1"/>
    <w:uiPriority w:val="99"/>
    <w:unhideWhenUsed/>
    <w:qFormat/>
    <w:pPr>
      <w:numPr>
        <w:numId w:val="3"/>
      </w:numPr>
      <w:contextualSpacing/>
    </w:pPr>
  </w:style>
  <w:style w:type="paragraph" w:styleId="34">
    <w:name w:val="Body Text 3"/>
    <w:basedOn w:val="a1"/>
    <w:link w:val="35"/>
    <w:uiPriority w:val="99"/>
    <w:unhideWhenUsed/>
    <w:pPr>
      <w:spacing w:after="120"/>
    </w:pPr>
    <w:rPr>
      <w:sz w:val="16"/>
      <w:szCs w:val="16"/>
    </w:rPr>
  </w:style>
  <w:style w:type="paragraph" w:styleId="30">
    <w:name w:val="List Bullet 3"/>
    <w:basedOn w:val="a1"/>
    <w:uiPriority w:val="99"/>
    <w:unhideWhenUsed/>
    <w:pPr>
      <w:numPr>
        <w:numId w:val="4"/>
      </w:numPr>
      <w:contextualSpacing/>
    </w:pPr>
  </w:style>
  <w:style w:type="paragraph" w:styleId="a8">
    <w:name w:val="Body Text"/>
    <w:basedOn w:val="a1"/>
    <w:link w:val="a9"/>
    <w:uiPriority w:val="99"/>
    <w:unhideWhenUsed/>
    <w:qFormat/>
    <w:pPr>
      <w:spacing w:after="120"/>
    </w:pPr>
  </w:style>
  <w:style w:type="paragraph" w:styleId="3">
    <w:name w:val="List Number 3"/>
    <w:basedOn w:val="a1"/>
    <w:uiPriority w:val="99"/>
    <w:unhideWhenUsed/>
    <w:qFormat/>
    <w:pPr>
      <w:numPr>
        <w:numId w:val="5"/>
      </w:numPr>
      <w:contextualSpacing/>
    </w:pPr>
  </w:style>
  <w:style w:type="paragraph" w:styleId="23">
    <w:name w:val="List 2"/>
    <w:basedOn w:val="a1"/>
    <w:uiPriority w:val="99"/>
    <w:unhideWhenUsed/>
    <w:qFormat/>
    <w:pPr>
      <w:ind w:left="720" w:hanging="360"/>
      <w:contextualSpacing/>
    </w:pPr>
  </w:style>
  <w:style w:type="paragraph" w:styleId="aa">
    <w:name w:val="List Continue"/>
    <w:basedOn w:val="a1"/>
    <w:uiPriority w:val="99"/>
    <w:unhideWhenUsed/>
    <w:qFormat/>
    <w:pPr>
      <w:spacing w:after="120"/>
      <w:ind w:left="360"/>
      <w:contextualSpacing/>
    </w:pPr>
  </w:style>
  <w:style w:type="paragraph" w:styleId="20">
    <w:name w:val="List Bullet 2"/>
    <w:basedOn w:val="a1"/>
    <w:uiPriority w:val="99"/>
    <w:unhideWhenUsed/>
    <w:qFormat/>
    <w:pPr>
      <w:numPr>
        <w:numId w:val="6"/>
      </w:numPr>
      <w:contextualSpacing/>
    </w:pPr>
  </w:style>
  <w:style w:type="paragraph" w:styleId="ab">
    <w:name w:val="footer"/>
    <w:basedOn w:val="a1"/>
    <w:link w:val="ac"/>
    <w:uiPriority w:val="99"/>
    <w:unhideWhenUsed/>
    <w:pPr>
      <w:tabs>
        <w:tab w:val="center" w:pos="4680"/>
        <w:tab w:val="right" w:pos="9360"/>
      </w:tabs>
      <w:spacing w:after="0" w:line="240" w:lineRule="auto"/>
    </w:pPr>
  </w:style>
  <w:style w:type="paragraph" w:styleId="ad">
    <w:name w:val="header"/>
    <w:basedOn w:val="a1"/>
    <w:link w:val="ae"/>
    <w:uiPriority w:val="99"/>
    <w:unhideWhenUsed/>
    <w:pPr>
      <w:tabs>
        <w:tab w:val="center" w:pos="4680"/>
        <w:tab w:val="right" w:pos="9360"/>
      </w:tabs>
      <w:spacing w:after="0" w:line="240" w:lineRule="auto"/>
    </w:pPr>
  </w:style>
  <w:style w:type="paragraph" w:styleId="af">
    <w:name w:val="Subtitle"/>
    <w:basedOn w:val="a1"/>
    <w:next w:val="a1"/>
    <w:link w:val="af0"/>
    <w:uiPriority w:val="11"/>
    <w:qFormat/>
    <w:rPr>
      <w:rFonts w:asciiTheme="majorHAnsi" w:eastAsiaTheme="majorEastAsia" w:hAnsiTheme="majorHAnsi" w:cstheme="majorBidi"/>
      <w:i/>
      <w:iCs/>
      <w:color w:val="4F81BD" w:themeColor="accent1"/>
      <w:spacing w:val="15"/>
      <w:sz w:val="24"/>
      <w:szCs w:val="24"/>
    </w:rPr>
  </w:style>
  <w:style w:type="paragraph" w:styleId="af1">
    <w:name w:val="List"/>
    <w:basedOn w:val="a1"/>
    <w:uiPriority w:val="99"/>
    <w:unhideWhenUsed/>
    <w:qFormat/>
    <w:pPr>
      <w:ind w:left="360" w:hanging="360"/>
      <w:contextualSpacing/>
    </w:pPr>
  </w:style>
  <w:style w:type="paragraph" w:styleId="24">
    <w:name w:val="Body Text 2"/>
    <w:basedOn w:val="a1"/>
    <w:link w:val="25"/>
    <w:uiPriority w:val="99"/>
    <w:unhideWhenUsed/>
    <w:qFormat/>
    <w:pPr>
      <w:spacing w:after="120" w:line="480" w:lineRule="auto"/>
    </w:pPr>
  </w:style>
  <w:style w:type="paragraph" w:styleId="26">
    <w:name w:val="List Continue 2"/>
    <w:basedOn w:val="a1"/>
    <w:uiPriority w:val="99"/>
    <w:unhideWhenUsed/>
    <w:qFormat/>
    <w:pPr>
      <w:spacing w:after="120"/>
      <w:ind w:left="720"/>
      <w:contextualSpacing/>
    </w:pPr>
  </w:style>
  <w:style w:type="paragraph" w:styleId="36">
    <w:name w:val="List Continue 3"/>
    <w:basedOn w:val="a1"/>
    <w:uiPriority w:val="99"/>
    <w:unhideWhenUsed/>
    <w:qFormat/>
    <w:pPr>
      <w:spacing w:after="120"/>
      <w:ind w:left="1080"/>
      <w:contextualSpacing/>
    </w:pPr>
  </w:style>
  <w:style w:type="paragraph" w:styleId="af2">
    <w:name w:val="Title"/>
    <w:basedOn w:val="a1"/>
    <w:next w:val="a1"/>
    <w:link w:val="af3"/>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table" w:styleId="af4">
    <w:name w:val="Table Grid"/>
    <w:basedOn w:val="a3"/>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5">
    <w:name w:val="Light Shading"/>
    <w:basedOn w:val="a3"/>
    <w:uiPriority w:val="60"/>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Pr>
      <w:color w:val="365F91" w:themeColor="accent1" w:themeShade="BF"/>
    </w:rPr>
    <w:tblPr>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qFormat/>
    <w:rPr>
      <w:color w:val="943634" w:themeColor="accent2" w:themeShade="BF"/>
    </w:rPr>
    <w:tblPr>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qFormat/>
    <w:rPr>
      <w:color w:val="76923C" w:themeColor="accent3" w:themeShade="BF"/>
    </w:rPr>
    <w:tblPr>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Pr>
      <w:color w:val="5F497A" w:themeColor="accent4" w:themeShade="BF"/>
    </w:rPr>
    <w:tblPr>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qFormat/>
    <w:rPr>
      <w:color w:val="31849B" w:themeColor="accent5" w:themeShade="BF"/>
    </w:rPr>
    <w:tblPr>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Pr>
      <w:color w:val="E36C0A" w:themeColor="accent6" w:themeShade="BF"/>
    </w:rPr>
    <w:tblPr>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6">
    <w:name w:val="Light List"/>
    <w:basedOn w:val="a3"/>
    <w:uiPriority w:val="61"/>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qFormat/>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7">
    <w:name w:val="Light Grid"/>
    <w:basedOn w:val="a3"/>
    <w:uiPriority w:val="62"/>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tcPr>
    </w:tblStylePr>
  </w:style>
  <w:style w:type="table" w:styleId="-11">
    <w:name w:val="Light Grid Accent 1"/>
    <w:basedOn w:val="a3"/>
    <w:uiPriority w:val="62"/>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tcPr>
    </w:tblStylePr>
  </w:style>
  <w:style w:type="table" w:styleId="-21">
    <w:name w:val="Light Grid Accent 2"/>
    <w:basedOn w:val="a3"/>
    <w:uiPriority w:val="62"/>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tcPr>
    </w:tblStylePr>
  </w:style>
  <w:style w:type="table" w:styleId="-31">
    <w:name w:val="Light Grid Accent 3"/>
    <w:basedOn w:val="a3"/>
    <w:uiPriority w:val="62"/>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tcPr>
    </w:tblStylePr>
  </w:style>
  <w:style w:type="table" w:styleId="-41">
    <w:name w:val="Light Grid Accent 4"/>
    <w:basedOn w:val="a3"/>
    <w:uiPriority w:val="62"/>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tcPr>
    </w:tblStylePr>
  </w:style>
  <w:style w:type="table" w:styleId="-51">
    <w:name w:val="Light Grid Accent 5"/>
    <w:basedOn w:val="a3"/>
    <w:uiPriority w:val="62"/>
    <w:qFormat/>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tcPr>
    </w:tblStylePr>
  </w:style>
  <w:style w:type="table" w:styleId="-61">
    <w:name w:val="Light Grid Accent 6"/>
    <w:basedOn w:val="a3"/>
    <w:uiPriority w:val="62"/>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tcPr>
    </w:tblStylePr>
  </w:style>
  <w:style w:type="table" w:styleId="11">
    <w:name w:val="Medium Shading 1"/>
    <w:basedOn w:val="a3"/>
    <w:uiPriority w:val="63"/>
    <w:qFormat/>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qFormat/>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Pr>
      <w:color w:val="000000" w:themeColor="text1"/>
    </w:rPr>
    <w:tblPr>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qFormat/>
    <w:rPr>
      <w:color w:val="000000" w:themeColor="text1"/>
    </w:rPr>
    <w:tblPr>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Pr>
      <w:color w:val="000000" w:themeColor="text1"/>
    </w:rPr>
    <w:tblPr>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qFormat/>
    <w:rPr>
      <w:color w:val="000000" w:themeColor="text1"/>
    </w:rPr>
    <w:tblPr>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qFormat/>
    <w:rPr>
      <w:color w:val="000000" w:themeColor="text1"/>
    </w:rPr>
    <w:tblPr>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qFormat/>
    <w:rPr>
      <w:color w:val="000000" w:themeColor="text1"/>
    </w:rPr>
    <w:tblPr>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qFormat/>
    <w:rPr>
      <w:color w:val="000000" w:themeColor="text1"/>
    </w:rPr>
    <w:tblPr>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qFormat/>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qFormat/>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qFormat/>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qFormat/>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qFormat/>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qFormat/>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qFormat/>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qFormat/>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qFormat/>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qFormat/>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qFormat/>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qFormat/>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qFormat/>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auto"/>
          <w:insideV w:val="single" w:sz="6" w:space="0" w:color="auto"/>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auto"/>
          <w:insideV w:val="single" w:sz="6" w:space="0" w:color="auto"/>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qFormat/>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auto"/>
          <w:insideV w:val="single" w:sz="6" w:space="0" w:color="auto"/>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qFormat/>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auto"/>
          <w:insideV w:val="single" w:sz="6" w:space="0" w:color="auto"/>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auto"/>
          <w:insideV w:val="single" w:sz="6" w:space="0" w:color="auto"/>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qFormat/>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auto"/>
          <w:insideV w:val="single" w:sz="6" w:space="0" w:color="auto"/>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qFormat/>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auto"/>
          <w:insideV w:val="single" w:sz="6" w:space="0" w:color="auto"/>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808080" w:themeFill="text1" w:themeFillTint="7F"/>
      </w:tcPr>
    </w:tblStylePr>
  </w:style>
  <w:style w:type="table" w:styleId="3-1">
    <w:name w:val="Medium Grid 3 Accent 1"/>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7BFDE" w:themeFill="accent1" w:themeFillTint="7F"/>
      </w:tcPr>
    </w:tblStylePr>
  </w:style>
  <w:style w:type="table" w:styleId="3-2">
    <w:name w:val="Medium Grid 3 Accent 2"/>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DFA7A6" w:themeFill="accent2" w:themeFillTint="7F"/>
      </w:tcPr>
    </w:tblStylePr>
  </w:style>
  <w:style w:type="table" w:styleId="3-3">
    <w:name w:val="Medium Grid 3 Accent 3"/>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CDDDAC" w:themeFill="accent3" w:themeFillTint="7F"/>
      </w:tcPr>
    </w:tblStylePr>
  </w:style>
  <w:style w:type="table" w:styleId="3-4">
    <w:name w:val="Medium Grid 3 Accent 4"/>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BFB1D0" w:themeFill="accent4" w:themeFillTint="7F"/>
      </w:tcPr>
    </w:tblStylePr>
  </w:style>
  <w:style w:type="table" w:styleId="3-5">
    <w:name w:val="Medium Grid 3 Accent 5"/>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5D5E2" w:themeFill="accent5" w:themeFillTint="7F"/>
      </w:tcPr>
    </w:tblStylePr>
  </w:style>
  <w:style w:type="table" w:styleId="3-6">
    <w:name w:val="Medium Grid 3 Accent 6"/>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FBCAA2" w:themeFill="accent6" w:themeFillTint="7F"/>
      </w:tcPr>
    </w:tblStylePr>
  </w:style>
  <w:style w:type="table" w:styleId="af8">
    <w:name w:val="Dark List"/>
    <w:basedOn w:val="a3"/>
    <w:uiPriority w:val="70"/>
    <w:qFormat/>
    <w:rPr>
      <w:color w:val="FFFFFF" w:themeColor="background1"/>
    </w:rP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qFormat/>
    <w:rPr>
      <w:color w:val="FFFFFF" w:themeColor="background1"/>
    </w:rP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qFormat/>
    <w:rPr>
      <w:color w:val="FFFFFF" w:themeColor="background1"/>
    </w:rP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qFormat/>
    <w:rPr>
      <w:color w:val="FFFFFF" w:themeColor="background1"/>
    </w:rP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Pr>
      <w:color w:val="FFFFFF" w:themeColor="background1"/>
    </w:rP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qFormat/>
    <w:rPr>
      <w:color w:val="FFFFFF" w:themeColor="background1"/>
    </w:rP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qFormat/>
    <w:rPr>
      <w:color w:val="FFFFFF" w:themeColor="background1"/>
    </w:rP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9">
    <w:name w:val="Colorful Shading"/>
    <w:basedOn w:val="a3"/>
    <w:uiPriority w:val="71"/>
    <w:qFormat/>
    <w:rPr>
      <w:color w:val="000000" w:themeColor="text1"/>
    </w:rPr>
    <w:tblPr>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qFormat/>
    <w:rPr>
      <w:color w:val="000000" w:themeColor="text1"/>
    </w:rPr>
    <w:tblPr>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qFormat/>
    <w:rPr>
      <w:color w:val="000000" w:themeColor="text1"/>
    </w:rPr>
    <w:tblPr>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qFormat/>
    <w:rPr>
      <w:color w:val="000000" w:themeColor="text1"/>
    </w:rPr>
    <w:tblPr>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qFormat/>
    <w:rPr>
      <w:color w:val="000000" w:themeColor="text1"/>
    </w:rPr>
    <w:tblPr>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qFormat/>
    <w:rPr>
      <w:color w:val="000000" w:themeColor="text1"/>
    </w:rPr>
    <w:tblPr>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qFormat/>
    <w:rPr>
      <w:color w:val="000000" w:themeColor="text1"/>
    </w:rPr>
    <w:tblPr>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a">
    <w:name w:val="Colorful List"/>
    <w:basedOn w:val="a3"/>
    <w:uiPriority w:val="72"/>
    <w:qFormat/>
    <w:rPr>
      <w:color w:val="000000" w:themeColor="text1"/>
    </w:rP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Pr>
      <w:color w:val="000000" w:themeColor="text1"/>
    </w:rP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qFormat/>
    <w:rPr>
      <w:color w:val="000000" w:themeColor="text1"/>
    </w:rP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qFormat/>
    <w:rPr>
      <w:color w:val="000000" w:themeColor="text1"/>
    </w:rP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Pr>
      <w:color w:val="000000" w:themeColor="text1"/>
    </w:rP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qFormat/>
    <w:rPr>
      <w:color w:val="000000" w:themeColor="text1"/>
    </w:rP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Pr>
      <w:color w:val="000000" w:themeColor="text1"/>
    </w:rP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b">
    <w:name w:val="Colorful Grid"/>
    <w:basedOn w:val="a3"/>
    <w:uiPriority w:val="73"/>
    <w:qFormat/>
    <w:rPr>
      <w:color w:val="000000" w:themeColor="text1"/>
    </w:rPr>
    <w:tblPr>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qFormat/>
    <w:rPr>
      <w:color w:val="000000" w:themeColor="text1"/>
    </w:rPr>
    <w:tblPr>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qFormat/>
    <w:rPr>
      <w:color w:val="000000" w:themeColor="text1"/>
    </w:rPr>
    <w:tblPr>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qFormat/>
    <w:rPr>
      <w:color w:val="000000" w:themeColor="text1"/>
    </w:rPr>
    <w:tblPr>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qFormat/>
    <w:rPr>
      <w:color w:val="000000" w:themeColor="text1"/>
    </w:rPr>
    <w:tblPr>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qFormat/>
    <w:rPr>
      <w:color w:val="000000" w:themeColor="text1"/>
    </w:rPr>
    <w:tblPr>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qFormat/>
    <w:rPr>
      <w:color w:val="000000" w:themeColor="text1"/>
    </w:rPr>
    <w:tblPr>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afc">
    <w:name w:val="Strong"/>
    <w:basedOn w:val="a2"/>
    <w:uiPriority w:val="22"/>
    <w:qFormat/>
    <w:rPr>
      <w:b/>
      <w:bCs/>
    </w:rPr>
  </w:style>
  <w:style w:type="character" w:styleId="afd">
    <w:name w:val="Emphasis"/>
    <w:basedOn w:val="a2"/>
    <w:uiPriority w:val="20"/>
    <w:qFormat/>
    <w:rPr>
      <w:i/>
      <w:iCs/>
    </w:rPr>
  </w:style>
  <w:style w:type="character" w:customStyle="1" w:styleId="ae">
    <w:name w:val="页眉 字符"/>
    <w:basedOn w:val="a2"/>
    <w:link w:val="ad"/>
    <w:uiPriority w:val="99"/>
  </w:style>
  <w:style w:type="character" w:customStyle="1" w:styleId="ac">
    <w:name w:val="页脚 字符"/>
    <w:basedOn w:val="a2"/>
    <w:link w:val="ab"/>
    <w:uiPriority w:val="99"/>
  </w:style>
  <w:style w:type="paragraph" w:styleId="afe">
    <w:name w:val="No Spacing"/>
    <w:uiPriority w:val="1"/>
    <w:qFormat/>
    <w:rPr>
      <w:sz w:val="22"/>
      <w:szCs w:val="22"/>
      <w:lang w:eastAsia="en-US"/>
    </w:rPr>
  </w:style>
  <w:style w:type="character" w:customStyle="1" w:styleId="10">
    <w:name w:val="标题 1 字符"/>
    <w:basedOn w:val="a2"/>
    <w:link w:val="1"/>
    <w:uiPriority w:val="9"/>
    <w:qFormat/>
    <w:rPr>
      <w:rFonts w:asciiTheme="majorHAnsi" w:eastAsiaTheme="majorEastAsia" w:hAnsiTheme="majorHAnsi" w:cstheme="majorBidi"/>
      <w:b/>
      <w:bCs/>
      <w:color w:val="365F91" w:themeColor="accent1" w:themeShade="BF"/>
      <w:sz w:val="28"/>
      <w:szCs w:val="28"/>
    </w:rPr>
  </w:style>
  <w:style w:type="character" w:customStyle="1" w:styleId="22">
    <w:name w:val="标题 2 字符"/>
    <w:basedOn w:val="a2"/>
    <w:link w:val="21"/>
    <w:uiPriority w:val="9"/>
    <w:qFormat/>
    <w:rPr>
      <w:rFonts w:asciiTheme="majorHAnsi" w:eastAsiaTheme="majorEastAsia" w:hAnsiTheme="majorHAnsi" w:cstheme="majorBidi"/>
      <w:b/>
      <w:bCs/>
      <w:color w:val="4F81BD" w:themeColor="accent1"/>
      <w:sz w:val="26"/>
      <w:szCs w:val="26"/>
    </w:rPr>
  </w:style>
  <w:style w:type="character" w:customStyle="1" w:styleId="32">
    <w:name w:val="标题 3 字符"/>
    <w:basedOn w:val="a2"/>
    <w:link w:val="31"/>
    <w:uiPriority w:val="9"/>
    <w:qFormat/>
    <w:rPr>
      <w:rFonts w:asciiTheme="majorHAnsi" w:eastAsiaTheme="majorEastAsia" w:hAnsiTheme="majorHAnsi" w:cstheme="majorBidi"/>
      <w:b/>
      <w:bCs/>
      <w:color w:val="4F81BD" w:themeColor="accent1"/>
    </w:rPr>
  </w:style>
  <w:style w:type="character" w:customStyle="1" w:styleId="af3">
    <w:name w:val="标题 字符"/>
    <w:basedOn w:val="a2"/>
    <w:link w:val="af2"/>
    <w:uiPriority w:val="10"/>
    <w:qFormat/>
    <w:rPr>
      <w:rFonts w:asciiTheme="majorHAnsi" w:eastAsiaTheme="majorEastAsia" w:hAnsiTheme="majorHAnsi" w:cstheme="majorBidi"/>
      <w:color w:val="17365D" w:themeColor="text2" w:themeShade="BF"/>
      <w:spacing w:val="5"/>
      <w:kern w:val="28"/>
      <w:sz w:val="52"/>
      <w:szCs w:val="52"/>
    </w:rPr>
  </w:style>
  <w:style w:type="character" w:customStyle="1" w:styleId="af0">
    <w:name w:val="副标题 字符"/>
    <w:basedOn w:val="a2"/>
    <w:link w:val="af"/>
    <w:uiPriority w:val="11"/>
    <w:qFormat/>
    <w:rPr>
      <w:rFonts w:asciiTheme="majorHAnsi" w:eastAsiaTheme="majorEastAsia" w:hAnsiTheme="majorHAnsi" w:cstheme="majorBidi"/>
      <w:i/>
      <w:iCs/>
      <w:color w:val="4F81BD" w:themeColor="accent1"/>
      <w:spacing w:val="15"/>
      <w:sz w:val="24"/>
      <w:szCs w:val="24"/>
    </w:rPr>
  </w:style>
  <w:style w:type="paragraph" w:styleId="aff">
    <w:name w:val="List Paragraph"/>
    <w:basedOn w:val="a1"/>
    <w:uiPriority w:val="34"/>
    <w:qFormat/>
    <w:pPr>
      <w:ind w:left="720"/>
      <w:contextualSpacing/>
    </w:pPr>
  </w:style>
  <w:style w:type="character" w:customStyle="1" w:styleId="a9">
    <w:name w:val="正文文本 字符"/>
    <w:basedOn w:val="a2"/>
    <w:link w:val="a8"/>
    <w:uiPriority w:val="99"/>
    <w:qFormat/>
  </w:style>
  <w:style w:type="character" w:customStyle="1" w:styleId="25">
    <w:name w:val="正文文本 2 字符"/>
    <w:basedOn w:val="a2"/>
    <w:link w:val="24"/>
    <w:uiPriority w:val="99"/>
    <w:qFormat/>
  </w:style>
  <w:style w:type="character" w:customStyle="1" w:styleId="35">
    <w:name w:val="正文文本 3 字符"/>
    <w:basedOn w:val="a2"/>
    <w:link w:val="34"/>
    <w:uiPriority w:val="99"/>
    <w:qFormat/>
    <w:rPr>
      <w:sz w:val="16"/>
      <w:szCs w:val="16"/>
    </w:rPr>
  </w:style>
  <w:style w:type="character" w:customStyle="1" w:styleId="a6">
    <w:name w:val="宏文本 字符"/>
    <w:basedOn w:val="a2"/>
    <w:link w:val="a5"/>
    <w:uiPriority w:val="99"/>
    <w:qFormat/>
    <w:rPr>
      <w:rFonts w:ascii="Courier" w:hAnsi="Courier"/>
      <w:sz w:val="20"/>
      <w:szCs w:val="20"/>
    </w:rPr>
  </w:style>
  <w:style w:type="paragraph" w:styleId="aff0">
    <w:name w:val="Quote"/>
    <w:basedOn w:val="a1"/>
    <w:next w:val="a1"/>
    <w:link w:val="aff1"/>
    <w:uiPriority w:val="29"/>
    <w:qFormat/>
    <w:rPr>
      <w:i/>
      <w:iCs/>
      <w:color w:val="000000" w:themeColor="text1"/>
    </w:rPr>
  </w:style>
  <w:style w:type="character" w:customStyle="1" w:styleId="aff1">
    <w:name w:val="引用 字符"/>
    <w:basedOn w:val="a2"/>
    <w:link w:val="aff0"/>
    <w:uiPriority w:val="29"/>
    <w:qFormat/>
    <w:rPr>
      <w:i/>
      <w:iCs/>
      <w:color w:val="000000" w:themeColor="text1"/>
    </w:rPr>
  </w:style>
  <w:style w:type="character" w:customStyle="1" w:styleId="40">
    <w:name w:val="标题 4 字符"/>
    <w:basedOn w:val="a2"/>
    <w:link w:val="4"/>
    <w:uiPriority w:val="9"/>
    <w:semiHidden/>
    <w:rPr>
      <w:rFonts w:asciiTheme="majorHAnsi" w:eastAsiaTheme="majorEastAsia" w:hAnsiTheme="majorHAnsi" w:cstheme="majorBidi"/>
      <w:b/>
      <w:bCs/>
      <w:i/>
      <w:iCs/>
      <w:color w:val="4F81BD" w:themeColor="accent1"/>
    </w:rPr>
  </w:style>
  <w:style w:type="character" w:customStyle="1" w:styleId="50">
    <w:name w:val="标题 5 字符"/>
    <w:basedOn w:val="a2"/>
    <w:link w:val="5"/>
    <w:uiPriority w:val="9"/>
    <w:semiHidden/>
    <w:qFormat/>
    <w:rPr>
      <w:rFonts w:asciiTheme="majorHAnsi" w:eastAsiaTheme="majorEastAsia" w:hAnsiTheme="majorHAnsi" w:cstheme="majorBidi"/>
      <w:color w:val="244061" w:themeColor="accent1" w:themeShade="80"/>
    </w:rPr>
  </w:style>
  <w:style w:type="character" w:customStyle="1" w:styleId="60">
    <w:name w:val="标题 6 字符"/>
    <w:basedOn w:val="a2"/>
    <w:link w:val="6"/>
    <w:uiPriority w:val="9"/>
    <w:semiHidden/>
    <w:rPr>
      <w:rFonts w:asciiTheme="majorHAnsi" w:eastAsiaTheme="majorEastAsia" w:hAnsiTheme="majorHAnsi" w:cstheme="majorBidi"/>
      <w:i/>
      <w:iCs/>
      <w:color w:val="244061" w:themeColor="accent1" w:themeShade="80"/>
    </w:rPr>
  </w:style>
  <w:style w:type="character" w:customStyle="1" w:styleId="70">
    <w:name w:val="标题 7 字符"/>
    <w:basedOn w:val="a2"/>
    <w:link w:val="7"/>
    <w:uiPriority w:val="9"/>
    <w:semiHidden/>
    <w:qFormat/>
    <w:rPr>
      <w:rFonts w:asciiTheme="majorHAnsi" w:eastAsiaTheme="majorEastAsia" w:hAnsiTheme="majorHAnsi" w:cstheme="majorBidi"/>
      <w:i/>
      <w:iCs/>
      <w:color w:val="404040" w:themeColor="text1" w:themeTint="BF"/>
    </w:rPr>
  </w:style>
  <w:style w:type="character" w:customStyle="1" w:styleId="80">
    <w:name w:val="标题 8 字符"/>
    <w:basedOn w:val="a2"/>
    <w:link w:val="8"/>
    <w:uiPriority w:val="9"/>
    <w:semiHidden/>
    <w:rPr>
      <w:rFonts w:asciiTheme="majorHAnsi" w:eastAsiaTheme="majorEastAsia" w:hAnsiTheme="majorHAnsi" w:cstheme="majorBidi"/>
      <w:color w:val="4F81BD" w:themeColor="accent1"/>
      <w:sz w:val="20"/>
      <w:szCs w:val="20"/>
    </w:rPr>
  </w:style>
  <w:style w:type="character" w:customStyle="1" w:styleId="90">
    <w:name w:val="标题 9 字符"/>
    <w:basedOn w:val="a2"/>
    <w:link w:val="9"/>
    <w:uiPriority w:val="9"/>
    <w:semiHidden/>
    <w:qFormat/>
    <w:rPr>
      <w:rFonts w:asciiTheme="majorHAnsi" w:eastAsiaTheme="majorEastAsia" w:hAnsiTheme="majorHAnsi" w:cstheme="majorBidi"/>
      <w:i/>
      <w:iCs/>
      <w:color w:val="404040" w:themeColor="text1" w:themeTint="BF"/>
      <w:sz w:val="20"/>
      <w:szCs w:val="20"/>
    </w:rPr>
  </w:style>
  <w:style w:type="paragraph" w:styleId="aff2">
    <w:name w:val="Intense Quote"/>
    <w:basedOn w:val="a1"/>
    <w:next w:val="a1"/>
    <w:link w:val="aff3"/>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aff3">
    <w:name w:val="明显引用 字符"/>
    <w:basedOn w:val="a2"/>
    <w:link w:val="aff2"/>
    <w:uiPriority w:val="30"/>
    <w:qFormat/>
    <w:rPr>
      <w:b/>
      <w:bCs/>
      <w:i/>
      <w:iCs/>
      <w:color w:val="4F81BD" w:themeColor="accent1"/>
    </w:rPr>
  </w:style>
  <w:style w:type="character" w:customStyle="1" w:styleId="14">
    <w:name w:val="不明显强调1"/>
    <w:basedOn w:val="a2"/>
    <w:uiPriority w:val="19"/>
    <w:qFormat/>
    <w:rPr>
      <w:i/>
      <w:iCs/>
      <w:color w:val="7F7F7F" w:themeColor="text1" w:themeTint="80"/>
    </w:rPr>
  </w:style>
  <w:style w:type="character" w:customStyle="1" w:styleId="15">
    <w:name w:val="明显强调1"/>
    <w:basedOn w:val="a2"/>
    <w:uiPriority w:val="21"/>
    <w:qFormat/>
    <w:rPr>
      <w:b/>
      <w:bCs/>
      <w:i/>
      <w:iCs/>
      <w:color w:val="4F81BD" w:themeColor="accent1"/>
    </w:rPr>
  </w:style>
  <w:style w:type="character" w:customStyle="1" w:styleId="16">
    <w:name w:val="不明显参考1"/>
    <w:basedOn w:val="a2"/>
    <w:uiPriority w:val="31"/>
    <w:qFormat/>
    <w:rPr>
      <w:smallCaps/>
      <w:color w:val="C0504D" w:themeColor="accent2"/>
      <w:u w:val="single"/>
    </w:rPr>
  </w:style>
  <w:style w:type="character" w:customStyle="1" w:styleId="17">
    <w:name w:val="明显参考1"/>
    <w:basedOn w:val="a2"/>
    <w:uiPriority w:val="32"/>
    <w:qFormat/>
    <w:rPr>
      <w:b/>
      <w:bCs/>
      <w:smallCaps/>
      <w:color w:val="C0504D" w:themeColor="accent2"/>
      <w:spacing w:val="5"/>
      <w:u w:val="single"/>
    </w:rPr>
  </w:style>
  <w:style w:type="character" w:customStyle="1" w:styleId="18">
    <w:name w:val="书籍标题1"/>
    <w:basedOn w:val="a2"/>
    <w:uiPriority w:val="33"/>
    <w:qFormat/>
    <w:rPr>
      <w:b/>
      <w:bCs/>
      <w:smallCaps/>
      <w:spacing w:val="5"/>
    </w:rPr>
  </w:style>
  <w:style w:type="paragraph" w:customStyle="1" w:styleId="TOC1">
    <w:name w:val="TOC 标题1"/>
    <w:basedOn w:val="1"/>
    <w:next w:val="a1"/>
    <w:uiPriority w:val="39"/>
    <w:semiHidden/>
    <w:unhideWhenUsed/>
    <w:qFormat/>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8</Pages>
  <Words>1749</Words>
  <Characters>9971</Characters>
  <Application>Microsoft Office Word</Application>
  <DocSecurity>0</DocSecurity>
  <Lines>83</Lines>
  <Paragraphs>23</Paragraphs>
  <ScaleCrop>false</ScaleCrop>
  <Company/>
  <LinksUpToDate>false</LinksUpToDate>
  <CharactersWithSpaces>11697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Guo Bryce</cp:lastModifiedBy>
  <cp:revision>2</cp:revision>
  <dcterms:created xsi:type="dcterms:W3CDTF">2013-12-23T23:15:00Z</dcterms:created>
  <dcterms:modified xsi:type="dcterms:W3CDTF">2022-07-17T06:43:00Z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2052-11.1.0.11830</vt:lpwstr>
  </property>
  <property fmtid="{D5CDD505-2E9C-101B-9397-08002B2CF9AE}" pid="3" name="ICV">
    <vt:lpwstr>FCF98C45A6BE43AA92259F92FAC24ABD</vt:lpwstr>
  </property>
</Properties>
</file>