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A850" w14:textId="77777777" w:rsidR="00A1100E" w:rsidRDefault="00000000">
      <w:pPr>
        <w:rPr>
          <w:lang w:eastAsia="zh-CN"/>
        </w:rPr>
      </w:pPr>
      <w:r>
        <w:rPr>
          <w:lang w:eastAsia="zh-CN"/>
        </w:rPr>
        <w:t>第四节管理</w:t>
      </w:r>
      <w:proofErr w:type="gramStart"/>
      <w:r>
        <w:rPr>
          <w:lang w:eastAsia="zh-CN"/>
        </w:rPr>
        <w:t>层讨论</w:t>
      </w:r>
      <w:proofErr w:type="gramEnd"/>
      <w:r>
        <w:rPr>
          <w:lang w:eastAsia="zh-CN"/>
        </w:rPr>
        <w:t>与分析一、概述报告期公司实现营业收入1,091,288,285.12元，归属于上市股东的净利润129,072,823.15元，同比分别下降5.53%和15.96%，截止2015年12月31日，公司总资产2,051,144,145.77元，同比增长4.94%，归属于上市公司股东的所有者权益为1,677,703,111.33元，同比增长6.05%。二、主营业务分析1、概述参见“管理层讨论与分析”中的“一、概述”相关内容。2、收入与成本（1）营业收入构成单位：元（2）占公司营业收入或营业利润10%以上的行业、产品或地区情况√适用□不适用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化成箔库存量比去年同期增加204,852平方米，增幅37.75%，主要是2015年度大多数客户对化成箔要求实行零库存管理及预投产品部分化成箔等因素导致库存增加。（4）公司已签订的重大销售合同截至本报告期的履行情况√适用□不适用（一）融资及对外担保合同1、授信合同单位：万元2、银行承兑合同单位：万元3、抵押及短期借款合同（1）2015年2月4日，江苏荣生与中国农业银行股份有限公司响水县支行签订《最高额抵押合同》（32100620150001091），为江苏荣生与其自2015年2月4日起至2016年1月31日止形成的债权提供担保，担保债权最高余额为2,400万元。抵押资产为房产</w:t>
      </w:r>
      <w:proofErr w:type="gramStart"/>
      <w:r>
        <w:rPr>
          <w:lang w:eastAsia="zh-CN"/>
        </w:rPr>
        <w:t>响房权证响经</w:t>
      </w:r>
      <w:proofErr w:type="gramEnd"/>
      <w:r>
        <w:rPr>
          <w:lang w:eastAsia="zh-CN"/>
        </w:rPr>
        <w:t>字第XJ00440、441、442号，</w:t>
      </w:r>
      <w:proofErr w:type="gramStart"/>
      <w:r>
        <w:rPr>
          <w:lang w:eastAsia="zh-CN"/>
        </w:rPr>
        <w:t>土地使用权响国用</w:t>
      </w:r>
      <w:proofErr w:type="gramEnd"/>
      <w:r>
        <w:rPr>
          <w:lang w:eastAsia="zh-CN"/>
        </w:rPr>
        <w:t>（2014）第33117号。（2）2015年2月9日，江苏荣生与中国农业银行股份有限公司响水县支行签订《流动资金借款合同》（3201012015002219），江苏荣生向其借贷两笔贷款分别为500万元，借款发放日期分别为2015年2月10日和2015年4月2日，借款期限为一年，借款利率分别为6.16%和5.885%。（二）采购合同（1）2015年2月15日，江苏荣生与新疆众和股份有限公司签订《产品销售合同》（00220150200046），合同有效期至2016年1月31日。合同约定：江苏荣生向该公司采购电解电容器阳极高压用铝箔1200吨，单价为43,000.00元，总价款为5,160万元。（2）2015年3月3日，新江海动力与德国布勒莱宝有限公司签订《高真空卷绕式电容镀膜机合同》（合同号314-15-4116-10），设备及服务总价为139万欧元。目前，该合同正在履行过程中。（三）建设工程合同2015年7月23日，新江海动力与南通新华建筑集团有限公司签订《建设工程施工合同协议书》。合同约定由该公司负责承建新江海动力薄膜电容器生产厂房、消防水池及室外整体配套工程及其他工程施工，合同工期为180天，合同价款为4,900万元。目前，该合同正在履行过程中。（5）营业成本构成行业和产品分类单位：元单位：元说明（6）报告期内合并范围是否发生变动√是□否新设立子公司南通江海储能技术有限公司纳入合并报表范围（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报告期内，公司研发投入大幅增加主要投向超级电容器和薄膜电容器，在研发团队、技术工艺开发、新产品研究及市场开拓方面取得积极进展，为公司中长期战略发展和形成收益支柱奠定了坚实基础。公司研发投入情况研发投入总额占营业收入的比重较上年发生显着变化的原因√适用□不适用研发投入总额占营业收入的比重较上年发生显着变化的原因报告期研发投入金额为6949.96万元，与去年同期对比上升1827.66万元，上</w:t>
      </w:r>
      <w:r>
        <w:rPr>
          <w:lang w:eastAsia="zh-CN"/>
        </w:rPr>
        <w:lastRenderedPageBreak/>
        <w:t>升幅度为35.68%，主要为公司在研发新产品超级电容、薄膜电容及涂炭箔等领域的投资增加。相应的研发投入占营业收入的比率也上升。研发投入资本化率大幅变动的原因及其合理性说明□适用√不适用5、现金流单位：元相关数据同比发生重大变动的主要影响因素说明√适用□不适用1.投资活动现金流入与去年同期对比下降97.46%，主要系在2014年度江海股份子公司“南通托普电子材料有限公司”转让60%的股权处置子公司所致；2.筹资活动现金流入量比去年同期增长272.41%，主要系江海股份子公司向银行借款增加所致；3.筹资活动产生的现金流量净额比去年同期上升47.80%，主要系2015年度子公司向银行借款增加及偿还贷款比2014年少2024.64万元所致。报告期内公司经营活动产生的现金净流量与本年度净利润存在重大差异的原因说明□适用√不适用三、非主营业务分析√适用□不适用单位：元四、资产及负债状况分析1、资产构成重大变动情况单位：元2、以公允价值计量的资产和负债□适用√不适用五、投资状况分析1、总体情况□适用√不适用2、报告期内获取的重大的股权投资情况□适用√不适用3、报告期内正在进行的重大的非股权投资情况□适用√不适用4、以公允价值计量的金融资产□适用√不适用5、募集资金使用情况√适用□不适用（1）募集资金总体使用情况√适用□不适用单位：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八、公司控制的结构化主体情况□适用√不适用九、公司未来发展的展望1、面临的机遇（1）、</w:t>
      </w:r>
      <w:r>
        <w:rPr>
          <w:highlight w:val="red"/>
          <w:lang w:eastAsia="zh-CN"/>
        </w:rPr>
        <w:t>铝电解电容器</w:t>
      </w:r>
      <w:r w:rsidRPr="00D3526C">
        <w:rPr>
          <w:lang w:eastAsia="zh-CN"/>
        </w:rPr>
        <w:t>的</w:t>
      </w:r>
      <w:r>
        <w:rPr>
          <w:highlight w:val="red"/>
          <w:lang w:eastAsia="zh-CN"/>
        </w:rPr>
        <w:t>铝箔腐蚀技术</w:t>
      </w:r>
      <w:r>
        <w:rPr>
          <w:lang w:eastAsia="zh-CN"/>
        </w:rPr>
        <w:t>和</w:t>
      </w:r>
      <w:r>
        <w:rPr>
          <w:highlight w:val="red"/>
          <w:lang w:eastAsia="zh-CN"/>
        </w:rPr>
        <w:t>化成技术</w:t>
      </w:r>
      <w:r>
        <w:rPr>
          <w:lang w:eastAsia="zh-CN"/>
        </w:rPr>
        <w:t>以及</w:t>
      </w:r>
      <w:r>
        <w:rPr>
          <w:highlight w:val="red"/>
          <w:lang w:eastAsia="zh-CN"/>
        </w:rPr>
        <w:t>电解液</w:t>
      </w:r>
      <w:r>
        <w:rPr>
          <w:lang w:eastAsia="zh-CN"/>
        </w:rPr>
        <w:t>的研发取得新的进展，有效提升在</w:t>
      </w:r>
      <w:r>
        <w:rPr>
          <w:highlight w:val="red"/>
          <w:lang w:eastAsia="zh-CN"/>
        </w:rPr>
        <w:t>工业变频器</w:t>
      </w:r>
      <w:r>
        <w:rPr>
          <w:lang w:eastAsia="zh-CN"/>
        </w:rPr>
        <w:t>、</w:t>
      </w:r>
      <w:r>
        <w:rPr>
          <w:highlight w:val="red"/>
          <w:lang w:eastAsia="zh-CN"/>
        </w:rPr>
        <w:t>通信电源</w:t>
      </w:r>
      <w:r>
        <w:rPr>
          <w:lang w:eastAsia="zh-CN"/>
        </w:rPr>
        <w:t>、</w:t>
      </w:r>
      <w:r>
        <w:rPr>
          <w:highlight w:val="red"/>
          <w:lang w:eastAsia="zh-CN"/>
        </w:rPr>
        <w:t>伺服系统</w:t>
      </w:r>
      <w:r>
        <w:rPr>
          <w:lang w:eastAsia="zh-CN"/>
        </w:rPr>
        <w:t>以及各类</w:t>
      </w:r>
      <w:r>
        <w:rPr>
          <w:highlight w:val="red"/>
          <w:lang w:eastAsia="zh-CN"/>
        </w:rPr>
        <w:t>变频家电</w:t>
      </w:r>
      <w:r>
        <w:rPr>
          <w:lang w:eastAsia="zh-CN"/>
        </w:rPr>
        <w:t>的竞争力。（2）、</w:t>
      </w:r>
      <w:r>
        <w:rPr>
          <w:highlight w:val="red"/>
          <w:lang w:eastAsia="zh-CN"/>
        </w:rPr>
        <w:t>薄膜电容器</w:t>
      </w:r>
      <w:r>
        <w:rPr>
          <w:lang w:eastAsia="zh-CN"/>
        </w:rPr>
        <w:t>通过自主创新和对外合作，实</w:t>
      </w:r>
      <w:r w:rsidRPr="00D3526C">
        <w:rPr>
          <w:lang w:eastAsia="zh-CN"/>
        </w:rPr>
        <w:t>现直流、交流、模组等系统配套</w:t>
      </w:r>
      <w:r>
        <w:rPr>
          <w:lang w:eastAsia="zh-CN"/>
        </w:rPr>
        <w:t>能力，大大拓展了快速增长的空间。（3）、</w:t>
      </w:r>
      <w:r>
        <w:rPr>
          <w:highlight w:val="red"/>
          <w:lang w:eastAsia="zh-CN"/>
        </w:rPr>
        <w:t>超级电容器</w:t>
      </w:r>
      <w:r>
        <w:rPr>
          <w:lang w:eastAsia="zh-CN"/>
        </w:rPr>
        <w:t>特别是</w:t>
      </w:r>
      <w:r>
        <w:rPr>
          <w:highlight w:val="red"/>
          <w:lang w:eastAsia="zh-CN"/>
        </w:rPr>
        <w:t>锂离子超级电容器</w:t>
      </w:r>
      <w:r>
        <w:rPr>
          <w:lang w:eastAsia="zh-CN"/>
        </w:rPr>
        <w:t>实现了批量稳定生产，并在</w:t>
      </w:r>
      <w:r>
        <w:rPr>
          <w:highlight w:val="red"/>
          <w:lang w:eastAsia="zh-CN"/>
        </w:rPr>
        <w:t>风电</w:t>
      </w:r>
      <w:r>
        <w:rPr>
          <w:lang w:eastAsia="zh-CN"/>
        </w:rPr>
        <w:t>、</w:t>
      </w:r>
      <w:r>
        <w:rPr>
          <w:highlight w:val="red"/>
          <w:lang w:eastAsia="zh-CN"/>
        </w:rPr>
        <w:t>AGV</w:t>
      </w:r>
      <w:r>
        <w:rPr>
          <w:lang w:eastAsia="zh-CN"/>
        </w:rPr>
        <w:t>、</w:t>
      </w:r>
      <w:r>
        <w:rPr>
          <w:highlight w:val="red"/>
          <w:lang w:eastAsia="zh-CN"/>
        </w:rPr>
        <w:t>ETC</w:t>
      </w:r>
      <w:r>
        <w:rPr>
          <w:lang w:eastAsia="zh-CN"/>
        </w:rPr>
        <w:t>的批量交货，</w:t>
      </w:r>
      <w:r>
        <w:rPr>
          <w:highlight w:val="red"/>
          <w:lang w:eastAsia="zh-CN"/>
        </w:rPr>
        <w:t>电梯</w:t>
      </w:r>
      <w:r>
        <w:rPr>
          <w:lang w:eastAsia="zh-CN"/>
        </w:rPr>
        <w:t>、</w:t>
      </w:r>
      <w:r>
        <w:rPr>
          <w:highlight w:val="red"/>
          <w:lang w:eastAsia="zh-CN"/>
        </w:rPr>
        <w:t>港口机械</w:t>
      </w:r>
      <w:r>
        <w:rPr>
          <w:lang w:eastAsia="zh-CN"/>
        </w:rPr>
        <w:t>、</w:t>
      </w:r>
      <w:r>
        <w:rPr>
          <w:highlight w:val="red"/>
          <w:lang w:eastAsia="zh-CN"/>
        </w:rPr>
        <w:t>数据中心</w:t>
      </w:r>
      <w:r>
        <w:rPr>
          <w:lang w:eastAsia="zh-CN"/>
        </w:rPr>
        <w:t>、</w:t>
      </w:r>
      <w:r>
        <w:rPr>
          <w:highlight w:val="red"/>
          <w:lang w:eastAsia="zh-CN"/>
        </w:rPr>
        <w:t>电动车</w:t>
      </w:r>
      <w:r>
        <w:rPr>
          <w:lang w:eastAsia="zh-CN"/>
        </w:rPr>
        <w:t>的试验进展顺利，前景看好。（4）、公司投资的</w:t>
      </w:r>
      <w:r>
        <w:rPr>
          <w:highlight w:val="red"/>
          <w:lang w:eastAsia="zh-CN"/>
        </w:rPr>
        <w:t>VOLTA</w:t>
      </w:r>
      <w:r>
        <w:rPr>
          <w:lang w:eastAsia="zh-CN"/>
        </w:rPr>
        <w:t>公司在</w:t>
      </w:r>
      <w:r>
        <w:rPr>
          <w:highlight w:val="red"/>
          <w:lang w:eastAsia="zh-CN"/>
        </w:rPr>
        <w:t>储能电池</w:t>
      </w:r>
      <w:r>
        <w:rPr>
          <w:lang w:eastAsia="zh-CN"/>
        </w:rPr>
        <w:t>和</w:t>
      </w:r>
      <w:r>
        <w:rPr>
          <w:highlight w:val="red"/>
          <w:lang w:eastAsia="zh-CN"/>
        </w:rPr>
        <w:t>石墨烯</w:t>
      </w:r>
      <w:r>
        <w:rPr>
          <w:lang w:eastAsia="zh-CN"/>
        </w:rPr>
        <w:t>的研发取得阶段性重要进展，有希望年内实现小批量试产。2、面临的挑战宏观经济增速放缓影响下游行业需求，</w:t>
      </w:r>
      <w:r>
        <w:rPr>
          <w:highlight w:val="red"/>
          <w:lang w:eastAsia="zh-CN"/>
        </w:rPr>
        <w:t>电容器</w:t>
      </w:r>
      <w:r>
        <w:rPr>
          <w:lang w:eastAsia="zh-CN"/>
        </w:rPr>
        <w:t>市场竞争加剧影响盈利能力，汇率波动和全球经济的不确定性影响及</w:t>
      </w:r>
      <w:r>
        <w:rPr>
          <w:highlight w:val="red"/>
          <w:lang w:eastAsia="zh-CN"/>
        </w:rPr>
        <w:t>超级电容器</w:t>
      </w:r>
      <w:r>
        <w:rPr>
          <w:lang w:eastAsia="zh-CN"/>
        </w:rPr>
        <w:t>产能扩张可能达不到订单需求等对公司经营发展构成挑战。3、公司未来三年发展战略充分发挥产品结构和市场结构优势，加强新产品新技术的研发投入，抓</w:t>
      </w:r>
      <w:r w:rsidRPr="00D3526C">
        <w:rPr>
          <w:lang w:eastAsia="zh-CN"/>
        </w:rPr>
        <w:t>住大功率</w:t>
      </w:r>
      <w:r>
        <w:rPr>
          <w:highlight w:val="red"/>
          <w:lang w:eastAsia="zh-CN"/>
        </w:rPr>
        <w:t>薄膜电容器</w:t>
      </w:r>
      <w:r>
        <w:rPr>
          <w:lang w:eastAsia="zh-CN"/>
        </w:rPr>
        <w:t>和</w:t>
      </w:r>
      <w:r w:rsidRPr="00D3526C">
        <w:rPr>
          <w:lang w:eastAsia="zh-CN"/>
        </w:rPr>
        <w:t>高分子</w:t>
      </w:r>
      <w:r>
        <w:rPr>
          <w:highlight w:val="red"/>
          <w:lang w:eastAsia="zh-CN"/>
        </w:rPr>
        <w:t>固态电容器技术</w:t>
      </w:r>
      <w:r>
        <w:rPr>
          <w:lang w:eastAsia="zh-CN"/>
        </w:rPr>
        <w:t>突破的市场机遇，以及</w:t>
      </w:r>
      <w:r>
        <w:rPr>
          <w:highlight w:val="red"/>
          <w:lang w:eastAsia="zh-CN"/>
        </w:rPr>
        <w:t>超级电容器</w:t>
      </w:r>
      <w:r>
        <w:rPr>
          <w:lang w:eastAsia="zh-CN"/>
        </w:rPr>
        <w:t>在性价比和</w:t>
      </w:r>
      <w:r>
        <w:rPr>
          <w:highlight w:val="red"/>
          <w:lang w:eastAsia="zh-CN"/>
        </w:rPr>
        <w:t>能量密度</w:t>
      </w:r>
      <w:r>
        <w:rPr>
          <w:lang w:eastAsia="zh-CN"/>
        </w:rPr>
        <w:t>方面的重大进步，形成</w:t>
      </w:r>
      <w:r>
        <w:rPr>
          <w:highlight w:val="red"/>
          <w:lang w:eastAsia="zh-CN"/>
        </w:rPr>
        <w:t>铝电解电容器</w:t>
      </w:r>
      <w:r>
        <w:rPr>
          <w:lang w:eastAsia="zh-CN"/>
        </w:rPr>
        <w:t>、</w:t>
      </w:r>
      <w:r>
        <w:rPr>
          <w:highlight w:val="red"/>
          <w:lang w:eastAsia="zh-CN"/>
        </w:rPr>
        <w:t>薄膜电容器</w:t>
      </w:r>
      <w:r>
        <w:rPr>
          <w:lang w:eastAsia="zh-CN"/>
        </w:rPr>
        <w:t>、</w:t>
      </w:r>
      <w:r>
        <w:rPr>
          <w:highlight w:val="red"/>
          <w:lang w:eastAsia="zh-CN"/>
        </w:rPr>
        <w:t>超级电容器</w:t>
      </w:r>
      <w:r>
        <w:rPr>
          <w:lang w:eastAsia="zh-CN"/>
        </w:rPr>
        <w:t>三大类产品群的多个新增长点。确保销售收入和净利润平均增长30%左右，真正进入全球工业用电容器前三位，把“江海”牌打造成全球业界的著名品牌。十、接待调研、沟通、采访等活动1、报告期内接待调研、沟通、采访等活动登记表√适用□不适用</w:t>
      </w:r>
    </w:p>
    <w:sectPr w:rsidR="00A1100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AFE21" w14:textId="77777777" w:rsidR="001B16E3" w:rsidRDefault="001B16E3">
      <w:pPr>
        <w:spacing w:line="240" w:lineRule="auto"/>
      </w:pPr>
      <w:r>
        <w:separator/>
      </w:r>
    </w:p>
  </w:endnote>
  <w:endnote w:type="continuationSeparator" w:id="0">
    <w:p w14:paraId="182238B7" w14:textId="77777777" w:rsidR="001B16E3" w:rsidRDefault="001B1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A51F4" w14:textId="77777777" w:rsidR="001B16E3" w:rsidRDefault="001B16E3">
      <w:pPr>
        <w:spacing w:after="0"/>
      </w:pPr>
      <w:r>
        <w:separator/>
      </w:r>
    </w:p>
  </w:footnote>
  <w:footnote w:type="continuationSeparator" w:id="0">
    <w:p w14:paraId="07638AF3" w14:textId="77777777" w:rsidR="001B16E3" w:rsidRDefault="001B16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823035225">
    <w:abstractNumId w:val="1"/>
  </w:num>
  <w:num w:numId="2" w16cid:durableId="170875029">
    <w:abstractNumId w:val="4"/>
  </w:num>
  <w:num w:numId="3" w16cid:durableId="1534268582">
    <w:abstractNumId w:val="5"/>
  </w:num>
  <w:num w:numId="4" w16cid:durableId="1400253543">
    <w:abstractNumId w:val="2"/>
  </w:num>
  <w:num w:numId="5" w16cid:durableId="280499886">
    <w:abstractNumId w:val="0"/>
  </w:num>
  <w:num w:numId="6" w16cid:durableId="1605335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6063C"/>
    <w:rsid w:val="0015074B"/>
    <w:rsid w:val="001B16E3"/>
    <w:rsid w:val="0029639D"/>
    <w:rsid w:val="00326F90"/>
    <w:rsid w:val="00A1100E"/>
    <w:rsid w:val="00AA1D8D"/>
    <w:rsid w:val="00B47730"/>
    <w:rsid w:val="00CB0664"/>
    <w:rsid w:val="00D3526C"/>
    <w:rsid w:val="00FC693F"/>
    <w:rsid w:val="6ED03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93F272"/>
  <w14:defaultImageDpi w14:val="300"/>
  <w15:docId w15:val="{9CE9550F-7113-4CED-8638-119F86CB7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A0E17E82DF91440983ACA66559A354D7</vt:lpwstr>
  </property>
</Properties>
</file>