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4A1B" w14:textId="77777777" w:rsidR="003C5F02" w:rsidRDefault="00000000">
      <w:pPr>
        <w:rPr>
          <w:lang w:eastAsia="zh-CN"/>
        </w:rPr>
      </w:pPr>
      <w:r>
        <w:rPr>
          <w:lang w:eastAsia="zh-CN"/>
        </w:rPr>
        <w:t>第四节管理</w:t>
      </w:r>
      <w:proofErr w:type="gramStart"/>
      <w:r>
        <w:rPr>
          <w:lang w:eastAsia="zh-CN"/>
        </w:rPr>
        <w:t>层讨论</w:t>
      </w:r>
      <w:proofErr w:type="gramEnd"/>
      <w:r>
        <w:rPr>
          <w:lang w:eastAsia="zh-CN"/>
        </w:rPr>
        <w:t>与分析一、概述2015年</w:t>
      </w:r>
      <w:r w:rsidRPr="009226DA">
        <w:rPr>
          <w:lang w:eastAsia="zh-CN"/>
        </w:rPr>
        <w:t>，全球经济形势低迷，在国际油价波动频繁、钢材价格持续走低、国外市场需求疲软、国内经</w:t>
      </w:r>
      <w:r>
        <w:rPr>
          <w:lang w:eastAsia="zh-CN"/>
        </w:rPr>
        <w:t>济增长下滑的前提下，</w:t>
      </w:r>
      <w:r>
        <w:rPr>
          <w:highlight w:val="red"/>
          <w:lang w:eastAsia="zh-CN"/>
        </w:rPr>
        <w:t>能源装备</w:t>
      </w:r>
      <w:r>
        <w:rPr>
          <w:lang w:eastAsia="zh-CN"/>
        </w:rPr>
        <w:t>行业也呈现出专业化程度越来越强、市场竞争日益激烈的态势。受上述因素影响，产品销售价格大幅下降，再加上公司</w:t>
      </w:r>
      <w:r w:rsidRPr="009226DA">
        <w:t>Φ</w:t>
      </w:r>
      <w:r>
        <w:rPr>
          <w:highlight w:val="red"/>
          <w:lang w:eastAsia="zh-CN"/>
        </w:rPr>
        <w:t>180石油</w:t>
      </w:r>
      <w:r>
        <w:rPr>
          <w:lang w:eastAsia="zh-CN"/>
        </w:rPr>
        <w:t>专用管生产线停产检修影响，公司2015年度经营业绩受到重大影响。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数据同比发生变动30%以上的原因说明□适用√不适用（4）公司已签订的重大销售合同截至本报告期的履行情况□适用√不适用（5）营业成本构成产品分类单位：</w:t>
      </w:r>
      <w:proofErr w:type="gramStart"/>
      <w:r>
        <w:rPr>
          <w:lang w:eastAsia="zh-CN"/>
        </w:rPr>
        <w:t>元说明</w:t>
      </w:r>
      <w:proofErr w:type="gramEnd"/>
      <w:r>
        <w:rPr>
          <w:lang w:eastAsia="zh-CN"/>
        </w:rPr>
        <w:t>公司产品成本中占比最大的是原材料，公司主要原材料为</w:t>
      </w:r>
      <w:proofErr w:type="gramStart"/>
      <w:r>
        <w:rPr>
          <w:lang w:eastAsia="zh-CN"/>
        </w:rPr>
        <w:t>管坯及铸件</w:t>
      </w:r>
      <w:proofErr w:type="gramEnd"/>
      <w:r>
        <w:rPr>
          <w:lang w:eastAsia="zh-CN"/>
        </w:rPr>
        <w:t>。（6）报告期内合并范围是否发生变动√是□</w:t>
      </w:r>
      <w:proofErr w:type="gramStart"/>
      <w:r>
        <w:rPr>
          <w:lang w:eastAsia="zh-CN"/>
        </w:rPr>
        <w:t>否本集团</w:t>
      </w:r>
      <w:proofErr w:type="gramEnd"/>
      <w:r>
        <w:rPr>
          <w:lang w:eastAsia="zh-CN"/>
        </w:rPr>
        <w:t>合并财务报表范围与上年相比，本年因非同</w:t>
      </w:r>
      <w:proofErr w:type="gramStart"/>
      <w:r>
        <w:rPr>
          <w:lang w:eastAsia="zh-CN"/>
        </w:rPr>
        <w:t>一控制</w:t>
      </w:r>
      <w:proofErr w:type="gramEnd"/>
      <w:r>
        <w:rPr>
          <w:lang w:eastAsia="zh-CN"/>
        </w:rPr>
        <w:t>下企业合并增加寿光市</w:t>
      </w:r>
      <w:proofErr w:type="gramStart"/>
      <w:r>
        <w:rPr>
          <w:lang w:eastAsia="zh-CN"/>
        </w:rPr>
        <w:t>懋</w:t>
      </w:r>
      <w:proofErr w:type="gramEnd"/>
      <w:r>
        <w:rPr>
          <w:lang w:eastAsia="zh-CN"/>
        </w:rPr>
        <w:t>隆小额贷款股份有限公司，因新设成立增加山东墨龙进出口有限公司。（7）公司报告期内业务、产品或服务发生重大变化或调整有关情况□适用√不适用（8）主要销售客户和主要供应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本集团的研究开发支出根据其性质以及研发活动最终形成无形资产是否具有较大不确定性，分为研究阶段支出和开发阶段支出。本集团的新产品研发项目从前期调研到成熟应用，需经历研究阶段和开发两个阶段：研究阶段具体需经过调研、论证、年度新产品开发计划的立项和审批、前期研究工作（</w:t>
      </w:r>
      <w:r w:rsidRPr="009226DA">
        <w:rPr>
          <w:lang w:eastAsia="zh-CN"/>
        </w:rPr>
        <w:t>包含配方和工艺设计、设备选择、制定技术标准等）、月度新产品开发计划的制定和审批等阶段，月度新产品开发计划的审批完成标志着新产品研究阶段的结束。开发阶段具体需经过新产品试制、项</w:t>
      </w:r>
      <w:r>
        <w:rPr>
          <w:lang w:eastAsia="zh-CN"/>
        </w:rPr>
        <w:t>目验收等阶段，项目验收标志着新产品开发阶段的结束。开发阶段开始时点：月度新产品开发计划审批完成，新产品的前期研究工作已经完成，产品</w:t>
      </w:r>
      <w:r w:rsidRPr="009226DA">
        <w:rPr>
          <w:lang w:eastAsia="zh-CN"/>
        </w:rPr>
        <w:t>的配方、工艺技术标准已经确</w:t>
      </w:r>
      <w:r>
        <w:rPr>
          <w:lang w:eastAsia="zh-CN"/>
        </w:rPr>
        <w:t>定。研究阶段的支出，于发生时计入当期损益。开发阶段的支出，同时满足下列条件的，确认为无形资产：（1）完成该无形资产以使其能够使用或出售在技术上具有可行性；（2）管理层具有完成该无形资产并使用或出售的意图；（3）无形资产产生经济利益的方式，包括能够证明运用该无形资产生产的产品存在市场或无形资产自身存在市场，无形资产将在内部使用的，能够证明其有用性；（4）有足够的技术、财务资源和其他资源支持，以完成该无形资产的开发，并有能力使用或出售该无形资产；（5）归属于该无形资产开发阶段的支出能够可靠地计量。不满足上述条件的开发阶段的支出，于发生时计入当期损益。前期已计入损益的开发支出在以后期间不再确认为资产。已资本化的开发阶段的支出在资产负债表上列示为开发支出，自该项目达到预定可使用状态之日起转为无形资产。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产生的现金流量净额较去年同期减少94.85%，主要系本年公司产品售价大幅下滑导致收入大幅下降所致。2、投资活动现金流入较去年同期增加640.74%，主要系本期收到寿光宝隆之子公司懋隆小</w:t>
      </w:r>
      <w:r>
        <w:rPr>
          <w:lang w:eastAsia="zh-CN"/>
        </w:rPr>
        <w:lastRenderedPageBreak/>
        <w:t>额贷款公司9月份追加投资合并之前分派收益所致。3、筹资活动产生的现金流量净额较去年同期减少212.73%，主要系本期收到的其他与筹资活动有关的现金中的贷款、保函保证金减少所致。报告期内公司经营活动产生的现金净流量与本年度净利润存在重大差异的原因说明√适用□不适用本年度公司经营活动产生的现金净流量为20,632,788.47元,本年度净利润为-286,498,946.90元，存在较大差异。主要原因为公司净利中扣减了不需要现金流出的固定资产折旧、无形资产摊销、存货减少、经营性应收项目的减少、经营性应付项目的增加等导致差异较大。三、非主营业务分析√适用□不适用单位：元四、资产及负债状况分析1、资产构成重大变动情况单位：元2、以公允价值计量的资产和负债□适用√不适用五、投资状况分析1、总体情况□适用√不适用2、报告期内获取的重大的股权投资情况□适用√不适用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山东墨龙石油机械股份有限公司2015年年度报告全文单位：元18报告期内取得和处置子公司的情况√适用□不适用主要控股参股公司情况说明公司主要参股公司为克拉玛依亚龙石油机械有限公司，该公司成立于1996年5月20日，注册资本640万元人民币。公司法人代表：罗杰，公司类型，其他有限责任公司。经营范围：</w:t>
      </w:r>
      <w:r>
        <w:rPr>
          <w:highlight w:val="red"/>
          <w:lang w:eastAsia="zh-CN"/>
        </w:rPr>
        <w:t>机械设备设计</w:t>
      </w:r>
      <w:r>
        <w:rPr>
          <w:lang w:eastAsia="zh-CN"/>
        </w:rPr>
        <w:t>、</w:t>
      </w:r>
      <w:r w:rsidRPr="009226DA">
        <w:rPr>
          <w:lang w:eastAsia="zh-CN"/>
        </w:rPr>
        <w:t>制作及销售：</w:t>
      </w:r>
      <w:r>
        <w:rPr>
          <w:highlight w:val="red"/>
          <w:lang w:eastAsia="zh-CN"/>
        </w:rPr>
        <w:t>五金交电</w:t>
      </w:r>
      <w:r>
        <w:rPr>
          <w:lang w:eastAsia="zh-CN"/>
        </w:rPr>
        <w:t>、</w:t>
      </w:r>
      <w:r>
        <w:rPr>
          <w:highlight w:val="red"/>
          <w:lang w:eastAsia="zh-CN"/>
        </w:rPr>
        <w:t>电子产品</w:t>
      </w:r>
      <w:r>
        <w:rPr>
          <w:lang w:eastAsia="zh-CN"/>
        </w:rPr>
        <w:t>、</w:t>
      </w:r>
      <w:r>
        <w:rPr>
          <w:highlight w:val="red"/>
          <w:lang w:eastAsia="zh-CN"/>
        </w:rPr>
        <w:t>建材</w:t>
      </w:r>
      <w:r>
        <w:rPr>
          <w:lang w:eastAsia="zh-CN"/>
        </w:rPr>
        <w:t>、</w:t>
      </w:r>
      <w:r>
        <w:rPr>
          <w:highlight w:val="red"/>
          <w:lang w:eastAsia="zh-CN"/>
        </w:rPr>
        <w:t>钢材销售</w:t>
      </w:r>
      <w:r>
        <w:rPr>
          <w:lang w:eastAsia="zh-CN"/>
        </w:rPr>
        <w:t>。本公司持股比例为30%，该公司本报告期实现营业收入17,163,486.12元，营业利润409,106.46元。八、公司控制的结构化主体情况□适用√不适用九、公司未来发展的展望（一）公司所在行业的发展趋势及公司未来发展战略规划国际能源署（IEA）发布的《世界能源展望》报告，对2040年的全球能源图景进行了展望：全球一次能源需求将增长37%，世界人口和经济仍然继续增长，但与过去相比，走上了能源强度较低的发展路径;世界能源供应结构中</w:t>
      </w:r>
      <w:r>
        <w:rPr>
          <w:highlight w:val="red"/>
          <w:lang w:eastAsia="zh-CN"/>
        </w:rPr>
        <w:t>石油</w:t>
      </w:r>
      <w:r w:rsidRPr="009226DA">
        <w:rPr>
          <w:lang w:eastAsia="zh-CN"/>
        </w:rPr>
        <w:t>、</w:t>
      </w:r>
      <w:r>
        <w:rPr>
          <w:highlight w:val="red"/>
          <w:lang w:eastAsia="zh-CN"/>
        </w:rPr>
        <w:t>天然气</w:t>
      </w:r>
      <w:r>
        <w:rPr>
          <w:lang w:eastAsia="zh-CN"/>
        </w:rPr>
        <w:t>、</w:t>
      </w:r>
      <w:r>
        <w:rPr>
          <w:highlight w:val="red"/>
          <w:lang w:eastAsia="zh-CN"/>
        </w:rPr>
        <w:t>煤炭</w:t>
      </w:r>
      <w:r>
        <w:rPr>
          <w:lang w:eastAsia="zh-CN"/>
        </w:rPr>
        <w:t>和</w:t>
      </w:r>
      <w:r>
        <w:rPr>
          <w:highlight w:val="red"/>
          <w:lang w:eastAsia="zh-CN"/>
        </w:rPr>
        <w:t>低碳能源</w:t>
      </w:r>
      <w:r>
        <w:rPr>
          <w:lang w:eastAsia="zh-CN"/>
        </w:rPr>
        <w:t>（</w:t>
      </w:r>
      <w:r>
        <w:rPr>
          <w:highlight w:val="red"/>
          <w:lang w:eastAsia="zh-CN"/>
        </w:rPr>
        <w:t>核能</w:t>
      </w:r>
      <w:r>
        <w:rPr>
          <w:lang w:eastAsia="zh-CN"/>
        </w:rPr>
        <w:t>和</w:t>
      </w:r>
      <w:r>
        <w:rPr>
          <w:highlight w:val="red"/>
          <w:lang w:eastAsia="zh-CN"/>
        </w:rPr>
        <w:t>可再生能源</w:t>
      </w:r>
      <w:r>
        <w:rPr>
          <w:lang w:eastAsia="zh-CN"/>
        </w:rPr>
        <w:t>）的占比将平分秋色；全球对</w:t>
      </w:r>
      <w:r>
        <w:rPr>
          <w:highlight w:val="red"/>
          <w:lang w:eastAsia="zh-CN"/>
        </w:rPr>
        <w:t>煤炭</w:t>
      </w:r>
      <w:r>
        <w:rPr>
          <w:lang w:eastAsia="zh-CN"/>
        </w:rPr>
        <w:t>和</w:t>
      </w:r>
      <w:r>
        <w:rPr>
          <w:highlight w:val="red"/>
          <w:lang w:eastAsia="zh-CN"/>
        </w:rPr>
        <w:t>石油</w:t>
      </w:r>
      <w:r>
        <w:rPr>
          <w:lang w:eastAsia="zh-CN"/>
        </w:rPr>
        <w:t>的需求将达到峰值；全球</w:t>
      </w:r>
      <w:r>
        <w:rPr>
          <w:highlight w:val="red"/>
          <w:lang w:eastAsia="zh-CN"/>
        </w:rPr>
        <w:t>天然气</w:t>
      </w:r>
      <w:r>
        <w:rPr>
          <w:lang w:eastAsia="zh-CN"/>
        </w:rPr>
        <w:t>的需求将增长50%以上，是</w:t>
      </w:r>
      <w:r>
        <w:rPr>
          <w:highlight w:val="red"/>
          <w:lang w:eastAsia="zh-CN"/>
        </w:rPr>
        <w:t>化石燃料</w:t>
      </w:r>
      <w:r>
        <w:rPr>
          <w:lang w:eastAsia="zh-CN"/>
        </w:rPr>
        <w:t>中增长最快的。从长期来看，虽然</w:t>
      </w:r>
      <w:r>
        <w:rPr>
          <w:highlight w:val="red"/>
          <w:lang w:eastAsia="zh-CN"/>
        </w:rPr>
        <w:t>风电</w:t>
      </w:r>
      <w:r>
        <w:rPr>
          <w:lang w:eastAsia="zh-CN"/>
        </w:rPr>
        <w:t>、</w:t>
      </w:r>
      <w:r>
        <w:rPr>
          <w:highlight w:val="red"/>
          <w:lang w:eastAsia="zh-CN"/>
        </w:rPr>
        <w:t>核电</w:t>
      </w:r>
      <w:r>
        <w:rPr>
          <w:lang w:eastAsia="zh-CN"/>
        </w:rPr>
        <w:t>、</w:t>
      </w:r>
      <w:r>
        <w:rPr>
          <w:highlight w:val="red"/>
          <w:lang w:eastAsia="zh-CN"/>
        </w:rPr>
        <w:t>光伏</w:t>
      </w:r>
      <w:r>
        <w:rPr>
          <w:lang w:eastAsia="zh-CN"/>
        </w:rPr>
        <w:t>产业将逐渐提升在总体</w:t>
      </w:r>
      <w:r>
        <w:rPr>
          <w:highlight w:val="red"/>
          <w:lang w:eastAsia="zh-CN"/>
        </w:rPr>
        <w:t>能源结构</w:t>
      </w:r>
      <w:r>
        <w:rPr>
          <w:lang w:eastAsia="zh-CN"/>
        </w:rPr>
        <w:t>中所占的比例。本展望期内，虽然</w:t>
      </w:r>
      <w:r>
        <w:rPr>
          <w:highlight w:val="red"/>
          <w:lang w:eastAsia="zh-CN"/>
        </w:rPr>
        <w:t>石油</w:t>
      </w:r>
      <w:r>
        <w:rPr>
          <w:lang w:eastAsia="zh-CN"/>
        </w:rPr>
        <w:t>是增长最慢的</w:t>
      </w:r>
      <w:r>
        <w:rPr>
          <w:highlight w:val="red"/>
          <w:lang w:eastAsia="zh-CN"/>
        </w:rPr>
        <w:t>燃料</w:t>
      </w:r>
      <w:r>
        <w:rPr>
          <w:lang w:eastAsia="zh-CN"/>
        </w:rPr>
        <w:t>，尽管如此，全球</w:t>
      </w:r>
      <w:r>
        <w:rPr>
          <w:highlight w:val="red"/>
          <w:lang w:eastAsia="zh-CN"/>
        </w:rPr>
        <w:t>燃料</w:t>
      </w:r>
      <w:r>
        <w:rPr>
          <w:lang w:eastAsia="zh-CN"/>
        </w:rPr>
        <w:t>的总需求可能增加1900万桶/日，到2035年达到1.09亿桶/日。所以从中长期分析来看，</w:t>
      </w:r>
      <w:r>
        <w:rPr>
          <w:highlight w:val="red"/>
          <w:lang w:eastAsia="zh-CN"/>
        </w:rPr>
        <w:t>石油钻采</w:t>
      </w:r>
      <w:r>
        <w:rPr>
          <w:lang w:eastAsia="zh-CN"/>
        </w:rPr>
        <w:t>专用装备行业规模总体上将呈持续扩大态势，市场前景广阔。本集团认为：当前形势下，全球经济虽依然低迷，但</w:t>
      </w:r>
      <w:r>
        <w:rPr>
          <w:highlight w:val="red"/>
          <w:lang w:eastAsia="zh-CN"/>
        </w:rPr>
        <w:t>原油</w:t>
      </w:r>
      <w:r>
        <w:rPr>
          <w:lang w:eastAsia="zh-CN"/>
        </w:rPr>
        <w:t>需求量及开采量以及基本趋于稳定。</w:t>
      </w:r>
      <w:r>
        <w:rPr>
          <w:highlight w:val="red"/>
          <w:lang w:eastAsia="zh-CN"/>
        </w:rPr>
        <w:t>能源</w:t>
      </w:r>
      <w:r>
        <w:rPr>
          <w:lang w:eastAsia="zh-CN"/>
        </w:rPr>
        <w:t>行业作为中国经济的支柱产业，中国政府“十三五规划”中也明确了要拓展产业发展空间，支持</w:t>
      </w:r>
      <w:r>
        <w:rPr>
          <w:highlight w:val="red"/>
          <w:lang w:eastAsia="zh-CN"/>
        </w:rPr>
        <w:t>高端装备</w:t>
      </w:r>
      <w:r>
        <w:rPr>
          <w:lang w:eastAsia="zh-CN"/>
        </w:rPr>
        <w:t>产业和</w:t>
      </w:r>
      <w:r>
        <w:rPr>
          <w:highlight w:val="red"/>
          <w:lang w:eastAsia="zh-CN"/>
        </w:rPr>
        <w:t>新能源</w:t>
      </w:r>
      <w:r>
        <w:rPr>
          <w:lang w:eastAsia="zh-CN"/>
        </w:rPr>
        <w:t>产业发展，支持传统行业转型升级。在国家政策的影响下，</w:t>
      </w:r>
      <w:r>
        <w:rPr>
          <w:highlight w:val="red"/>
          <w:lang w:eastAsia="zh-CN"/>
        </w:rPr>
        <w:t>能源</w:t>
      </w:r>
      <w:r>
        <w:rPr>
          <w:lang w:eastAsia="zh-CN"/>
        </w:rPr>
        <w:t>行业必然保持稳健增长，公司所处</w:t>
      </w:r>
      <w:r>
        <w:rPr>
          <w:highlight w:val="red"/>
          <w:lang w:eastAsia="zh-CN"/>
        </w:rPr>
        <w:t>能源装备</w:t>
      </w:r>
      <w:r>
        <w:rPr>
          <w:lang w:eastAsia="zh-CN"/>
        </w:rPr>
        <w:t>行业也必然受益。公司未来将投入更大资源进行高端产品技术、生产工艺的研发，保证产品质量，储备高端技术、扩大配套生产能力；在确保国内市场的前提下，努力拓展国际市场。（二）结合公司制定的战略目标，2016年公司主要从以下几个方面开展工作：（1）在产品研发方面，本集团将进一步加大</w:t>
      </w:r>
      <w:r w:rsidRPr="009226DA">
        <w:rPr>
          <w:lang w:eastAsia="zh-CN"/>
        </w:rPr>
        <w:t>高附加值产品和自主产权系列方面的非API产品的研究开发力度。2016年，加大产品系列化开发力度，如X70QS、X80Q、X90Q、X100Q、ML150V新钢</w:t>
      </w:r>
      <w:r>
        <w:rPr>
          <w:lang w:eastAsia="zh-CN"/>
        </w:rPr>
        <w:t>种系列</w:t>
      </w:r>
      <w:r>
        <w:rPr>
          <w:highlight w:val="red"/>
          <w:lang w:eastAsia="zh-CN"/>
        </w:rPr>
        <w:t>油套管</w:t>
      </w:r>
      <w:r>
        <w:rPr>
          <w:lang w:eastAsia="zh-CN"/>
        </w:rPr>
        <w:t>及</w:t>
      </w:r>
      <w:r>
        <w:rPr>
          <w:highlight w:val="red"/>
          <w:lang w:eastAsia="zh-CN"/>
        </w:rPr>
        <w:t>管线管</w:t>
      </w:r>
      <w:r>
        <w:rPr>
          <w:lang w:eastAsia="zh-CN"/>
        </w:rPr>
        <w:t>；超深井用</w:t>
      </w:r>
      <w:r w:rsidRPr="009226DA">
        <w:rPr>
          <w:lang w:eastAsia="zh-CN"/>
        </w:rPr>
        <w:t>高强度</w:t>
      </w:r>
      <w:r>
        <w:rPr>
          <w:highlight w:val="red"/>
          <w:lang w:eastAsia="zh-CN"/>
        </w:rPr>
        <w:t>高抗挤毁套管</w:t>
      </w:r>
      <w:r>
        <w:rPr>
          <w:lang w:eastAsia="zh-CN"/>
        </w:rPr>
        <w:t>；</w:t>
      </w:r>
      <w:r>
        <w:rPr>
          <w:highlight w:val="red"/>
          <w:lang w:eastAsia="zh-CN"/>
        </w:rPr>
        <w:t>船舶用无缝钢管</w:t>
      </w:r>
      <w:r>
        <w:rPr>
          <w:lang w:eastAsia="zh-CN"/>
        </w:rPr>
        <w:t>、</w:t>
      </w:r>
      <w:r>
        <w:rPr>
          <w:highlight w:val="red"/>
          <w:lang w:eastAsia="zh-CN"/>
        </w:rPr>
        <w:t>低温用无缝钢管</w:t>
      </w:r>
      <w:r>
        <w:rPr>
          <w:lang w:eastAsia="zh-CN"/>
        </w:rPr>
        <w:t>、</w:t>
      </w:r>
      <w:r>
        <w:rPr>
          <w:highlight w:val="red"/>
          <w:lang w:eastAsia="zh-CN"/>
        </w:rPr>
        <w:t>复合扶</w:t>
      </w:r>
      <w:r>
        <w:rPr>
          <w:highlight w:val="red"/>
          <w:lang w:eastAsia="zh-CN"/>
        </w:rPr>
        <w:lastRenderedPageBreak/>
        <w:t>正抽油杆</w:t>
      </w:r>
      <w:r>
        <w:rPr>
          <w:lang w:eastAsia="zh-CN"/>
        </w:rPr>
        <w:t>、</w:t>
      </w:r>
      <w:r w:rsidRPr="009226DA">
        <w:rPr>
          <w:lang w:eastAsia="zh-CN"/>
        </w:rPr>
        <w:t>表面镀钨</w:t>
      </w:r>
      <w:r>
        <w:rPr>
          <w:highlight w:val="red"/>
          <w:lang w:eastAsia="zh-CN"/>
        </w:rPr>
        <w:t>合金防腐抽油杆</w:t>
      </w:r>
      <w:r>
        <w:rPr>
          <w:lang w:eastAsia="zh-CN"/>
        </w:rPr>
        <w:t>等新产品，以满足国内外各类客户对</w:t>
      </w:r>
      <w:r>
        <w:rPr>
          <w:highlight w:val="red"/>
          <w:lang w:eastAsia="zh-CN"/>
        </w:rPr>
        <w:t>石油</w:t>
      </w:r>
      <w:r>
        <w:rPr>
          <w:lang w:eastAsia="zh-CN"/>
        </w:rPr>
        <w:t>、</w:t>
      </w:r>
      <w:r>
        <w:rPr>
          <w:highlight w:val="red"/>
          <w:lang w:eastAsia="zh-CN"/>
        </w:rPr>
        <w:t>天然气</w:t>
      </w:r>
      <w:r>
        <w:rPr>
          <w:lang w:eastAsia="zh-CN"/>
        </w:rPr>
        <w:t>、</w:t>
      </w:r>
      <w:r>
        <w:rPr>
          <w:highlight w:val="red"/>
          <w:lang w:eastAsia="zh-CN"/>
        </w:rPr>
        <w:t>页岩气</w:t>
      </w:r>
      <w:r>
        <w:rPr>
          <w:lang w:eastAsia="zh-CN"/>
        </w:rPr>
        <w:t>、</w:t>
      </w:r>
      <w:r>
        <w:rPr>
          <w:highlight w:val="red"/>
          <w:lang w:eastAsia="zh-CN"/>
        </w:rPr>
        <w:t>煤层气</w:t>
      </w:r>
      <w:r>
        <w:rPr>
          <w:lang w:eastAsia="zh-CN"/>
        </w:rPr>
        <w:t>等开发的特殊需求。（2）在开拓新领域方面，本集团将根据市场对</w:t>
      </w:r>
      <w:r>
        <w:rPr>
          <w:highlight w:val="red"/>
          <w:lang w:eastAsia="zh-CN"/>
        </w:rPr>
        <w:t>石油</w:t>
      </w:r>
      <w:r>
        <w:rPr>
          <w:lang w:eastAsia="zh-CN"/>
        </w:rPr>
        <w:t>、</w:t>
      </w:r>
      <w:r>
        <w:rPr>
          <w:highlight w:val="red"/>
          <w:lang w:eastAsia="zh-CN"/>
        </w:rPr>
        <w:t>天然气</w:t>
      </w:r>
      <w:r>
        <w:rPr>
          <w:lang w:eastAsia="zh-CN"/>
        </w:rPr>
        <w:t>、</w:t>
      </w:r>
      <w:r>
        <w:rPr>
          <w:highlight w:val="red"/>
          <w:lang w:eastAsia="zh-CN"/>
        </w:rPr>
        <w:t>页岩气</w:t>
      </w:r>
      <w:r>
        <w:rPr>
          <w:lang w:eastAsia="zh-CN"/>
        </w:rPr>
        <w:t>、</w:t>
      </w:r>
      <w:r>
        <w:rPr>
          <w:highlight w:val="red"/>
          <w:lang w:eastAsia="zh-CN"/>
        </w:rPr>
        <w:t>煤层气</w:t>
      </w:r>
      <w:r>
        <w:rPr>
          <w:lang w:eastAsia="zh-CN"/>
        </w:rPr>
        <w:t>、</w:t>
      </w:r>
      <w:r>
        <w:rPr>
          <w:highlight w:val="red"/>
          <w:lang w:eastAsia="zh-CN"/>
        </w:rPr>
        <w:t>风电</w:t>
      </w:r>
      <w:r>
        <w:rPr>
          <w:lang w:eastAsia="zh-CN"/>
        </w:rPr>
        <w:t>及</w:t>
      </w:r>
      <w:r>
        <w:rPr>
          <w:highlight w:val="red"/>
          <w:lang w:eastAsia="zh-CN"/>
        </w:rPr>
        <w:t>核电</w:t>
      </w:r>
      <w:r>
        <w:rPr>
          <w:lang w:eastAsia="zh-CN"/>
        </w:rPr>
        <w:t>产品的特殊需求和发展趋势，积极研究更高层次的适合产品。在产品已经供应的基础上，将更加贴近用户，研究合适的低成本产品，提升在该行业的竞争优势。（3）在国内市场方面，计划进一步巩固和加强与中石油集团、中石化集团、中海油集团及延长石油的良好合作关系，积极拓展</w:t>
      </w:r>
      <w:r>
        <w:rPr>
          <w:highlight w:val="red"/>
          <w:lang w:eastAsia="zh-CN"/>
        </w:rPr>
        <w:t>页岩气</w:t>
      </w:r>
      <w:r>
        <w:rPr>
          <w:lang w:eastAsia="zh-CN"/>
        </w:rPr>
        <w:t>、</w:t>
      </w:r>
      <w:r>
        <w:rPr>
          <w:highlight w:val="red"/>
          <w:lang w:eastAsia="zh-CN"/>
        </w:rPr>
        <w:t>煤层气</w:t>
      </w:r>
      <w:r>
        <w:rPr>
          <w:lang w:eastAsia="zh-CN"/>
        </w:rPr>
        <w:t>装备，同时大力开拓</w:t>
      </w:r>
      <w:r>
        <w:rPr>
          <w:highlight w:val="red"/>
          <w:lang w:eastAsia="zh-CN"/>
        </w:rPr>
        <w:t>煤炭挖掘</w:t>
      </w:r>
      <w:r>
        <w:rPr>
          <w:lang w:eastAsia="zh-CN"/>
        </w:rPr>
        <w:t>业</w:t>
      </w:r>
      <w:r w:rsidRPr="009226DA">
        <w:rPr>
          <w:lang w:eastAsia="zh-CN"/>
        </w:rPr>
        <w:t>安全装置</w:t>
      </w:r>
      <w:r>
        <w:rPr>
          <w:lang w:eastAsia="zh-CN"/>
        </w:rPr>
        <w:t>及</w:t>
      </w:r>
      <w:r>
        <w:rPr>
          <w:highlight w:val="red"/>
          <w:lang w:eastAsia="zh-CN"/>
        </w:rPr>
        <w:t>高压锅炉管</w:t>
      </w:r>
      <w:r>
        <w:rPr>
          <w:lang w:eastAsia="zh-CN"/>
        </w:rPr>
        <w:t>、</w:t>
      </w:r>
      <w:r>
        <w:rPr>
          <w:highlight w:val="red"/>
          <w:lang w:eastAsia="zh-CN"/>
        </w:rPr>
        <w:t>机械加工用管</w:t>
      </w:r>
      <w:r>
        <w:rPr>
          <w:lang w:eastAsia="zh-CN"/>
        </w:rPr>
        <w:t>等市场。（4）在海外市场方面，本集团计划充分考虑各产油国的贸易政策及海外区域市场的发展需求，进一步对南美、中东、非洲、俄罗斯、西亚等市场的开发，以增加供应量，分散海外市场的集中度。同时，继续加强与有市场资源、有服务优势、信誉良好的海外库存供货商的长期合作，提高既有市场的市场占有率</w:t>
      </w:r>
      <w:r w:rsidRPr="009226DA">
        <w:rPr>
          <w:lang w:eastAsia="zh-CN"/>
        </w:rPr>
        <w:t>。（三）对公司未来发展战略和经营目标实现的</w:t>
      </w:r>
      <w:r>
        <w:rPr>
          <w:lang w:eastAsia="zh-CN"/>
        </w:rPr>
        <w:t>风险因素（1）全球经济形势持续低迷，</w:t>
      </w:r>
      <w:r>
        <w:rPr>
          <w:highlight w:val="red"/>
          <w:lang w:eastAsia="zh-CN"/>
        </w:rPr>
        <w:t>石油钻采</w:t>
      </w:r>
      <w:r>
        <w:rPr>
          <w:lang w:eastAsia="zh-CN"/>
        </w:rPr>
        <w:t>行业异常波动，将会直接导致产品需求波动，我们将及时根据市场变化，调整产品结构和市场布局；（2）原材料价格发生异常变动时，将会直接影响产品的制造成本，将会对产品价格造成直接影响；（3）人民币汇率异常变化，将给公司产品的出口业务带来影响，我们将时刻关注汇率变动，采取不同措施规避人民币汇率变动造成的风险。十、接待调研、沟通、采访等活动1、报告期内接待调研、沟通、采访等活动登记表□适用√不适用公司报告期内未发生接待调研、沟通、采访等活动。</w:t>
      </w:r>
    </w:p>
    <w:sectPr w:rsidR="003C5F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0573" w14:textId="77777777" w:rsidR="00B703B7" w:rsidRDefault="00B703B7">
      <w:pPr>
        <w:spacing w:line="240" w:lineRule="auto"/>
      </w:pPr>
      <w:r>
        <w:separator/>
      </w:r>
    </w:p>
  </w:endnote>
  <w:endnote w:type="continuationSeparator" w:id="0">
    <w:p w14:paraId="66058A7B" w14:textId="77777777" w:rsidR="00B703B7" w:rsidRDefault="00B70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8EC2" w14:textId="77777777" w:rsidR="00B703B7" w:rsidRDefault="00B703B7">
      <w:pPr>
        <w:spacing w:after="0"/>
      </w:pPr>
      <w:r>
        <w:separator/>
      </w:r>
    </w:p>
  </w:footnote>
  <w:footnote w:type="continuationSeparator" w:id="0">
    <w:p w14:paraId="0EE6354F" w14:textId="77777777" w:rsidR="00B703B7" w:rsidRDefault="00B703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6334116">
    <w:abstractNumId w:val="1"/>
  </w:num>
  <w:num w:numId="2" w16cid:durableId="949093196">
    <w:abstractNumId w:val="4"/>
  </w:num>
  <w:num w:numId="3" w16cid:durableId="386344969">
    <w:abstractNumId w:val="5"/>
  </w:num>
  <w:num w:numId="4" w16cid:durableId="992835399">
    <w:abstractNumId w:val="2"/>
  </w:num>
  <w:num w:numId="5" w16cid:durableId="478570022">
    <w:abstractNumId w:val="0"/>
  </w:num>
  <w:num w:numId="6" w16cid:durableId="524515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9639D"/>
    <w:rsid w:val="00326F90"/>
    <w:rsid w:val="003C5F02"/>
    <w:rsid w:val="009226DA"/>
    <w:rsid w:val="00AA1D8D"/>
    <w:rsid w:val="00B47730"/>
    <w:rsid w:val="00B703B7"/>
    <w:rsid w:val="00CB0664"/>
    <w:rsid w:val="00FC693F"/>
    <w:rsid w:val="5AA3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48386C"/>
  <w14:defaultImageDpi w14:val="300"/>
  <w15:docId w15:val="{9CE9550F-7113-4CED-8638-119F86CB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10F80C83A66C49988A27192A9A96D820</vt:lpwstr>
  </property>
</Properties>
</file>