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KPI Reference</w:t>
      </w:r>
    </w:p>
    <w:p>
      <w:r>
        <w:rPr>
          <w:i/>
          <w:sz w:val="22"/>
        </w:rPr>
        <w:t>Data Monitoring Platform - how each headline KPI is defined and calculated</w:t>
      </w:r>
    </w:p>
    <w:p>
      <w:pPr>
        <w:spacing w:after="200"/>
      </w:pPr>
      <w:r>
        <w:rPr>
          <w:b w:val="0"/>
          <w:i w:val="0"/>
        </w:rPr>
        <w:t>This reference describes the six standardized Page-1 KPIs, the survey questions each one draws on, the calculation method, and the traffic-light compliance thresholds. The KPI list, weights and thresholds are configurable live in the KPI Engine screen and are provisional pending final sign-off.</w:t>
      </w:r>
    </w:p>
    <w:p>
      <w:pPr>
        <w:pStyle w:val="Heading1"/>
      </w:pPr>
      <w:r>
        <w:t>1. How every KPI is calculated</w:t>
      </w:r>
    </w:p>
    <w:p>
      <w:pPr>
        <w:spacing w:after="80"/>
      </w:pPr>
      <w:r>
        <w:rPr>
          <w:b w:val="0"/>
          <w:i w:val="0"/>
        </w:rPr>
        <w:t>All KPIs share the same method so they are directly comparable on a 0-100 scale:</w:t>
      </w:r>
    </w:p>
    <w:p>
      <w:pPr>
        <w:spacing w:after="60"/>
      </w:pPr>
      <w:r>
        <w:t>1. Each contributing survey question is answered on a 1-5 scale.</w:t>
      </w:r>
    </w:p>
    <w:p>
      <w:pPr>
        <w:spacing w:after="60"/>
      </w:pPr>
      <w:r>
        <w:t>2. Each answer is normalized to 0-100 using (raw - 1) / 4 x 100, so 1=0, 2=25, 3=50, 4=75, 5=100.</w:t>
      </w:r>
    </w:p>
    <w:p>
      <w:pPr>
        <w:spacing w:after="60"/>
      </w:pPr>
      <w:r>
        <w:t>3. For each KPI, every source question is averaged across the responses currently in view, then the source averages are combined by their weights (a weighted average), or taken directly for single-input KPIs.</w:t>
      </w:r>
    </w:p>
    <w:p>
      <w:pPr>
        <w:spacing w:after="60"/>
      </w:pPr>
      <w:r>
        <w:t>4. The result is a 0-100 score; its compliance colour is set by the KPI's thresholds.</w:t>
      </w:r>
    </w:p>
    <w:p>
      <w:pPr>
        <w:spacing w:after="80"/>
      </w:pPr>
      <w:r>
        <w:rPr>
          <w:b/>
          <w:i w:val="0"/>
        </w:rPr>
        <w:t>Compliance bands:  score &gt;= Green threshold -&gt; GREEN (On track);  &gt;= Amber threshold -&gt; AMBER (Watch);  otherwise -&gt; RED (At risk).</w:t>
      </w:r>
    </w:p>
    <w:p>
      <w:pPr>
        <w:spacing w:after="200"/>
      </w:pPr>
      <w:r>
        <w:rPr>
          <w:b w:val="0"/>
          <w:i/>
        </w:rPr>
        <w:t>Worked example - Public Realm Safety &amp; Accessibility. If the average normalized scores are Public Realm 70, Off-Peak Security 60, and Public Space 65, the KPI = 0.40x70 + 0.35x60 + 0.25x65 = 65.3, which is AMBER (Watch), because 45 &lt;= 65.3 &lt; 70.</w:t>
      </w:r>
    </w:p>
    <w:p>
      <w:pPr>
        <w:pStyle w:val="Heading1"/>
      </w:pPr>
      <w:r>
        <w:t>2. The six KPIs at a glance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432"/>
          </w:tcPr>
          <w:p>
            <w:r/>
            <w:r>
              <w:rPr>
                <w:b/>
                <w:sz w:val="19"/>
              </w:rPr>
              <w:t>#</w:t>
            </w:r>
          </w:p>
        </w:tc>
        <w:tc>
          <w:tcPr>
            <w:tcW w:type="dxa" w:w="2160"/>
          </w:tcPr>
          <w:p>
            <w:r/>
            <w:r>
              <w:rPr>
                <w:b/>
                <w:sz w:val="19"/>
              </w:rPr>
              <w:t>KPI</w:t>
            </w:r>
          </w:p>
        </w:tc>
        <w:tc>
          <w:tcPr>
            <w:tcW w:type="dxa" w:w="1440"/>
          </w:tcPr>
          <w:p>
            <w:r/>
            <w:r>
              <w:rPr>
                <w:b/>
                <w:sz w:val="19"/>
              </w:rPr>
              <w:t>Method</w:t>
            </w:r>
          </w:p>
        </w:tc>
        <w:tc>
          <w:tcPr>
            <w:tcW w:type="dxa" w:w="3744"/>
          </w:tcPr>
          <w:p>
            <w:r/>
            <w:r>
              <w:rPr>
                <w:b/>
                <w:sz w:val="19"/>
              </w:rPr>
              <w:t>Inputs (weight)</w:t>
            </w:r>
          </w:p>
        </w:tc>
        <w:tc>
          <w:tcPr>
            <w:tcW w:type="dxa" w:w="720"/>
          </w:tcPr>
          <w:p>
            <w:r/>
            <w:r>
              <w:rPr>
                <w:b/>
                <w:sz w:val="19"/>
              </w:rPr>
              <w:t>Green</w:t>
            </w:r>
          </w:p>
        </w:tc>
        <w:tc>
          <w:tcPr>
            <w:tcW w:type="dxa" w:w="720"/>
          </w:tcPr>
          <w:p>
            <w:r/>
            <w:r>
              <w:rPr>
                <w:b/>
                <w:sz w:val="19"/>
              </w:rPr>
              <w:t>Amber</w:t>
            </w:r>
          </w:p>
        </w:tc>
      </w:tr>
      <w:tr>
        <w:tc>
          <w:tcPr>
            <w:tcW w:type="dxa" w:w="432"/>
          </w:tcPr>
          <w:p>
            <w:r/>
            <w:r>
              <w:rPr>
                <w:sz w:val="19"/>
              </w:rPr>
              <w:t>1</w:t>
            </w:r>
          </w:p>
        </w:tc>
        <w:tc>
          <w:tcPr>
            <w:tcW w:type="dxa" w:w="2160"/>
          </w:tcPr>
          <w:p>
            <w:r/>
            <w:r>
              <w:rPr>
                <w:sz w:val="19"/>
              </w:rPr>
              <w:t>Local Health &amp; Environmental Quality</w:t>
            </w:r>
          </w:p>
        </w:tc>
        <w:tc>
          <w:tcPr>
            <w:tcW w:type="dxa" w:w="1440"/>
          </w:tcPr>
          <w:p>
            <w:r/>
            <w:r>
              <w:rPr>
                <w:sz w:val="19"/>
              </w:rPr>
              <w:t>Weighted average</w:t>
            </w:r>
          </w:p>
        </w:tc>
        <w:tc>
          <w:tcPr>
            <w:tcW w:type="dxa" w:w="3744"/>
          </w:tcPr>
          <w:p>
            <w:r/>
            <w:r>
              <w:rPr>
                <w:sz w:val="19"/>
              </w:rPr>
              <w:t>Green Infrastructure &amp; Efficiency (0.6), Community &amp; Wellbeing Awareness (0.4)</w:t>
            </w:r>
          </w:p>
        </w:tc>
        <w:tc>
          <w:tcPr>
            <w:tcW w:type="dxa" w:w="720"/>
          </w:tcPr>
          <w:p>
            <w:r/>
            <w:r>
              <w:rPr>
                <w:sz w:val="19"/>
              </w:rPr>
              <w:t>&gt;= 75</w:t>
            </w:r>
          </w:p>
        </w:tc>
        <w:tc>
          <w:tcPr>
            <w:tcW w:type="dxa" w:w="720"/>
          </w:tcPr>
          <w:p>
            <w:r/>
            <w:r>
              <w:rPr>
                <w:sz w:val="19"/>
              </w:rPr>
              <w:t>&gt;= 50</w:t>
            </w:r>
          </w:p>
        </w:tc>
      </w:tr>
      <w:tr>
        <w:tc>
          <w:tcPr>
            <w:tcW w:type="dxa" w:w="432"/>
          </w:tcPr>
          <w:p>
            <w:r/>
            <w:r>
              <w:rPr>
                <w:sz w:val="19"/>
              </w:rPr>
              <w:t>2</w:t>
            </w:r>
          </w:p>
        </w:tc>
        <w:tc>
          <w:tcPr>
            <w:tcW w:type="dxa" w:w="2160"/>
          </w:tcPr>
          <w:p>
            <w:r/>
            <w:r>
              <w:rPr>
                <w:sz w:val="19"/>
              </w:rPr>
              <w:t>Public Realm Safety &amp; Accessibility</w:t>
            </w:r>
          </w:p>
        </w:tc>
        <w:tc>
          <w:tcPr>
            <w:tcW w:type="dxa" w:w="1440"/>
          </w:tcPr>
          <w:p>
            <w:r/>
            <w:r>
              <w:rPr>
                <w:sz w:val="19"/>
              </w:rPr>
              <w:t>Weighted average</w:t>
            </w:r>
          </w:p>
        </w:tc>
        <w:tc>
          <w:tcPr>
            <w:tcW w:type="dxa" w:w="3744"/>
          </w:tcPr>
          <w:p>
            <w:r/>
            <w:r>
              <w:rPr>
                <w:sz w:val="19"/>
              </w:rPr>
              <w:t>Public Realm Contribution (0.4), Off-Peak Security (0.35), Public Space Sentiment (0.25)</w:t>
            </w:r>
          </w:p>
        </w:tc>
        <w:tc>
          <w:tcPr>
            <w:tcW w:type="dxa" w:w="720"/>
          </w:tcPr>
          <w:p>
            <w:r/>
            <w:r>
              <w:rPr>
                <w:sz w:val="19"/>
              </w:rPr>
              <w:t>&gt;= 70</w:t>
            </w:r>
          </w:p>
        </w:tc>
        <w:tc>
          <w:tcPr>
            <w:tcW w:type="dxa" w:w="720"/>
          </w:tcPr>
          <w:p>
            <w:r/>
            <w:r>
              <w:rPr>
                <w:sz w:val="19"/>
              </w:rPr>
              <w:t>&gt;= 45</w:t>
            </w:r>
          </w:p>
        </w:tc>
      </w:tr>
      <w:tr>
        <w:tc>
          <w:tcPr>
            <w:tcW w:type="dxa" w:w="432"/>
          </w:tcPr>
          <w:p>
            <w:r/>
            <w:r>
              <w:rPr>
                <w:sz w:val="19"/>
              </w:rPr>
              <w:t>3</w:t>
            </w:r>
          </w:p>
        </w:tc>
        <w:tc>
          <w:tcPr>
            <w:tcW w:type="dxa" w:w="2160"/>
          </w:tcPr>
          <w:p>
            <w:r/>
            <w:r>
              <w:rPr>
                <w:sz w:val="19"/>
              </w:rPr>
              <w:t>Sustainable Mobility Integration</w:t>
            </w:r>
          </w:p>
        </w:tc>
        <w:tc>
          <w:tcPr>
            <w:tcW w:type="dxa" w:w="1440"/>
          </w:tcPr>
          <w:p>
            <w:r/>
            <w:r>
              <w:rPr>
                <w:sz w:val="19"/>
              </w:rPr>
              <w:t>Direct (single input)</w:t>
            </w:r>
          </w:p>
        </w:tc>
        <w:tc>
          <w:tcPr>
            <w:tcW w:type="dxa" w:w="3744"/>
          </w:tcPr>
          <w:p>
            <w:r/>
            <w:r>
              <w:rPr>
                <w:sz w:val="19"/>
              </w:rPr>
              <w:t>Recycling &amp; Active Travel (1)</w:t>
            </w:r>
          </w:p>
        </w:tc>
        <w:tc>
          <w:tcPr>
            <w:tcW w:type="dxa" w:w="720"/>
          </w:tcPr>
          <w:p>
            <w:r/>
            <w:r>
              <w:rPr>
                <w:sz w:val="19"/>
              </w:rPr>
              <w:t>&gt;= 70</w:t>
            </w:r>
          </w:p>
        </w:tc>
        <w:tc>
          <w:tcPr>
            <w:tcW w:type="dxa" w:w="720"/>
          </w:tcPr>
          <w:p>
            <w:r/>
            <w:r>
              <w:rPr>
                <w:sz w:val="19"/>
              </w:rPr>
              <w:t>&gt;= 45</w:t>
            </w:r>
          </w:p>
        </w:tc>
      </w:tr>
      <w:tr>
        <w:tc>
          <w:tcPr>
            <w:tcW w:type="dxa" w:w="432"/>
          </w:tcPr>
          <w:p>
            <w:r/>
            <w:r>
              <w:rPr>
                <w:sz w:val="19"/>
              </w:rPr>
              <w:t>4</w:t>
            </w:r>
          </w:p>
        </w:tc>
        <w:tc>
          <w:tcPr>
            <w:tcW w:type="dxa" w:w="2160"/>
          </w:tcPr>
          <w:p>
            <w:r/>
            <w:r>
              <w:rPr>
                <w:sz w:val="19"/>
              </w:rPr>
              <w:t>Sustainability Performance</w:t>
            </w:r>
          </w:p>
        </w:tc>
        <w:tc>
          <w:tcPr>
            <w:tcW w:type="dxa" w:w="1440"/>
          </w:tcPr>
          <w:p>
            <w:r/>
            <w:r>
              <w:rPr>
                <w:sz w:val="19"/>
              </w:rPr>
              <w:t>Weighted average</w:t>
            </w:r>
          </w:p>
        </w:tc>
        <w:tc>
          <w:tcPr>
            <w:tcW w:type="dxa" w:w="3744"/>
          </w:tcPr>
          <w:p>
            <w:r/>
            <w:r>
              <w:rPr>
                <w:sz w:val="19"/>
              </w:rPr>
              <w:t>Green Infrastructure &amp; Efficiency (0.7), Public Realm Contribution (0.3)</w:t>
            </w:r>
          </w:p>
        </w:tc>
        <w:tc>
          <w:tcPr>
            <w:tcW w:type="dxa" w:w="720"/>
          </w:tcPr>
          <w:p>
            <w:r/>
            <w:r>
              <w:rPr>
                <w:sz w:val="19"/>
              </w:rPr>
              <w:t>&gt;= 72</w:t>
            </w:r>
          </w:p>
        </w:tc>
        <w:tc>
          <w:tcPr>
            <w:tcW w:type="dxa" w:w="720"/>
          </w:tcPr>
          <w:p>
            <w:r/>
            <w:r>
              <w:rPr>
                <w:sz w:val="19"/>
              </w:rPr>
              <w:t>&gt;= 48</w:t>
            </w:r>
          </w:p>
        </w:tc>
      </w:tr>
      <w:tr>
        <w:tc>
          <w:tcPr>
            <w:tcW w:type="dxa" w:w="432"/>
          </w:tcPr>
          <w:p>
            <w:r/>
            <w:r>
              <w:rPr>
                <w:sz w:val="19"/>
              </w:rPr>
              <w:t>5</w:t>
            </w:r>
          </w:p>
        </w:tc>
        <w:tc>
          <w:tcPr>
            <w:tcW w:type="dxa" w:w="2160"/>
          </w:tcPr>
          <w:p>
            <w:r/>
            <w:r>
              <w:rPr>
                <w:sz w:val="19"/>
              </w:rPr>
              <w:t>Community Wellbeing &amp; Belonging</w:t>
            </w:r>
          </w:p>
        </w:tc>
        <w:tc>
          <w:tcPr>
            <w:tcW w:type="dxa" w:w="1440"/>
          </w:tcPr>
          <w:p>
            <w:r/>
            <w:r>
              <w:rPr>
                <w:sz w:val="19"/>
              </w:rPr>
              <w:t>Weighted average</w:t>
            </w:r>
          </w:p>
        </w:tc>
        <w:tc>
          <w:tcPr>
            <w:tcW w:type="dxa" w:w="3744"/>
          </w:tcPr>
          <w:p>
            <w:r/>
            <w:r>
              <w:rPr>
                <w:sz w:val="19"/>
              </w:rPr>
              <w:t>Community &amp; Wellbeing Awareness (0.5), Management Responsiveness (0.5)</w:t>
            </w:r>
          </w:p>
        </w:tc>
        <w:tc>
          <w:tcPr>
            <w:tcW w:type="dxa" w:w="720"/>
          </w:tcPr>
          <w:p>
            <w:r/>
            <w:r>
              <w:rPr>
                <w:sz w:val="19"/>
              </w:rPr>
              <w:t>&gt;= 68</w:t>
            </w:r>
          </w:p>
        </w:tc>
        <w:tc>
          <w:tcPr>
            <w:tcW w:type="dxa" w:w="720"/>
          </w:tcPr>
          <w:p>
            <w:r/>
            <w:r>
              <w:rPr>
                <w:sz w:val="19"/>
              </w:rPr>
              <w:t>&gt;= 45</w:t>
            </w:r>
          </w:p>
        </w:tc>
      </w:tr>
      <w:tr>
        <w:tc>
          <w:tcPr>
            <w:tcW w:type="dxa" w:w="432"/>
          </w:tcPr>
          <w:p>
            <w:r/>
            <w:r>
              <w:rPr>
                <w:sz w:val="19"/>
              </w:rPr>
              <w:t>6</w:t>
            </w:r>
          </w:p>
        </w:tc>
        <w:tc>
          <w:tcPr>
            <w:tcW w:type="dxa" w:w="2160"/>
          </w:tcPr>
          <w:p>
            <w:r/>
            <w:r>
              <w:rPr>
                <w:sz w:val="19"/>
              </w:rPr>
              <w:t>Housing Affordability</w:t>
            </w:r>
          </w:p>
        </w:tc>
        <w:tc>
          <w:tcPr>
            <w:tcW w:type="dxa" w:w="1440"/>
          </w:tcPr>
          <w:p>
            <w:r/>
            <w:r>
              <w:rPr>
                <w:sz w:val="19"/>
              </w:rPr>
              <w:t>Direct (placeholder)</w:t>
            </w:r>
          </w:p>
        </w:tc>
        <w:tc>
          <w:tcPr>
            <w:tcW w:type="dxa" w:w="3744"/>
          </w:tcPr>
          <w:p>
            <w:r/>
            <w:r>
              <w:rPr>
                <w:sz w:val="19"/>
              </w:rPr>
              <w:t>Housing cost-to-income (external, placeholder) (1)</w:t>
            </w:r>
          </w:p>
        </w:tc>
        <w:tc>
          <w:tcPr>
            <w:tcW w:type="dxa" w:w="720"/>
          </w:tcPr>
          <w:p>
            <w:r/>
            <w:r>
              <w:rPr>
                <w:sz w:val="19"/>
              </w:rPr>
              <w:t>&gt;= 65</w:t>
            </w:r>
          </w:p>
        </w:tc>
        <w:tc>
          <w:tcPr>
            <w:tcW w:type="dxa" w:w="720"/>
          </w:tcPr>
          <w:p>
            <w:r/>
            <w:r>
              <w:rPr>
                <w:sz w:val="19"/>
              </w:rPr>
              <w:t>&gt;= 45</w:t>
            </w:r>
          </w:p>
        </w:tc>
      </w:tr>
    </w:tbl>
    <w:p>
      <w:pPr>
        <w:spacing w:after="80"/>
      </w:pPr>
      <w:r>
        <w:rPr>
          <w:b w:val="0"/>
          <w:i w:val="0"/>
        </w:rPr>
      </w:r>
    </w:p>
    <w:p>
      <w:pPr>
        <w:pStyle w:val="Heading1"/>
      </w:pPr>
      <w:r>
        <w:t>3. KPI definitions in detail</w:t>
      </w:r>
    </w:p>
    <w:p>
      <w:pPr>
        <w:pStyle w:val="Heading2"/>
      </w:pPr>
      <w:r>
        <w:t>1. Local Health &amp; Environmental Quality</w:t>
      </w:r>
    </w:p>
    <w:p>
      <w:pPr>
        <w:spacing w:after="80"/>
      </w:pPr>
      <w:r>
        <w:rPr>
          <w:b w:val="0"/>
          <w:i w:val="0"/>
        </w:rPr>
        <w:t>Overall environmental and health quality of the development and its surroundings.</w:t>
      </w:r>
    </w:p>
    <w:p>
      <w:pPr>
        <w:spacing w:after="80"/>
      </w:pPr>
      <w:r>
        <w:rPr>
          <w:b/>
        </w:rPr>
        <w:t xml:space="preserve">Category: </w:t>
      </w:r>
      <w:r>
        <w:t xml:space="preserve">Environmental      </w:t>
      </w:r>
      <w:r>
        <w:rPr>
          <w:b/>
        </w:rPr>
        <w:t xml:space="preserve">Method: </w:t>
      </w:r>
      <w:r>
        <w:t xml:space="preserve">Weighted average      </w:t>
      </w:r>
      <w:r>
        <w:rPr>
          <w:b/>
        </w:rPr>
        <w:t xml:space="preserve">Unit: </w:t>
      </w:r>
      <w:r>
        <w:t>pts</w:t>
      </w:r>
    </w:p>
    <w:tbl>
      <w:tblPr>
        <w:tblStyle w:val="LightGrid-Accent1"/>
        <w:tblW w:type="auto" w:w="0"/>
        <w:tblLook w:firstColumn="1" w:firstRow="1" w:lastColumn="0" w:lastRow="0" w:noHBand="0" w:noVBand="1" w:val="04A0"/>
      </w:tblPr>
      <w:tblGrid>
        <w:gridCol w:w="2880"/>
        <w:gridCol w:w="2880"/>
        <w:gridCol w:w="2880"/>
      </w:tblGrid>
      <w:tr>
        <w:tc>
          <w:tcPr>
            <w:tcW w:type="dxa" w:w="5184"/>
          </w:tcPr>
          <w:p>
            <w:r/>
            <w:r>
              <w:rPr>
                <w:b/>
                <w:sz w:val="19"/>
              </w:rPr>
              <w:t>Input question</w:t>
            </w:r>
          </w:p>
        </w:tc>
        <w:tc>
          <w:tcPr>
            <w:tcW w:type="dxa" w:w="1440"/>
          </w:tcPr>
          <w:p>
            <w:r/>
            <w:r>
              <w:rPr>
                <w:b/>
                <w:sz w:val="19"/>
              </w:rPr>
              <w:t>Channel</w:t>
            </w:r>
          </w:p>
        </w:tc>
        <w:tc>
          <w:tcPr>
            <w:tcW w:type="dxa" w:w="1152"/>
          </w:tcPr>
          <w:p>
            <w:r/>
            <w:r>
              <w:rPr>
                <w:b/>
                <w:sz w:val="19"/>
              </w:rPr>
              <w:t>Weight</w:t>
            </w:r>
          </w:p>
        </w:tc>
      </w:tr>
      <w:tr>
        <w:tc>
          <w:tcPr>
            <w:tcW w:type="dxa" w:w="5184"/>
          </w:tcPr>
          <w:p>
            <w:r/>
            <w:r>
              <w:rPr>
                <w:sz w:val="19"/>
              </w:rPr>
              <w:t>Green Infrastructure &amp; Efficiency</w:t>
            </w:r>
          </w:p>
        </w:tc>
        <w:tc>
          <w:tcPr>
            <w:tcW w:type="dxa" w:w="1440"/>
          </w:tcPr>
          <w:p>
            <w:r/>
            <w:r>
              <w:rPr>
                <w:sz w:val="19"/>
              </w:rPr>
              <w:t>Online</w:t>
            </w:r>
          </w:p>
        </w:tc>
        <w:tc>
          <w:tcPr>
            <w:tcW w:type="dxa" w:w="1152"/>
          </w:tcPr>
          <w:p>
            <w:r/>
            <w:r>
              <w:rPr>
                <w:sz w:val="19"/>
              </w:rPr>
              <w:t>0.6</w:t>
            </w:r>
          </w:p>
        </w:tc>
      </w:tr>
      <w:tr>
        <w:tc>
          <w:tcPr>
            <w:tcW w:type="dxa" w:w="5184"/>
          </w:tcPr>
          <w:p>
            <w:r/>
            <w:r>
              <w:rPr>
                <w:sz w:val="19"/>
              </w:rPr>
              <w:t>Community &amp; Wellbeing Awareness</w:t>
            </w:r>
          </w:p>
        </w:tc>
        <w:tc>
          <w:tcPr>
            <w:tcW w:type="dxa" w:w="1440"/>
          </w:tcPr>
          <w:p>
            <w:r/>
            <w:r>
              <w:rPr>
                <w:sz w:val="19"/>
              </w:rPr>
              <w:t>Online</w:t>
            </w:r>
          </w:p>
        </w:tc>
        <w:tc>
          <w:tcPr>
            <w:tcW w:type="dxa" w:w="1152"/>
          </w:tcPr>
          <w:p>
            <w:r/>
            <w:r>
              <w:rPr>
                <w:sz w:val="19"/>
              </w:rPr>
              <w:t>0.4</w:t>
            </w:r>
          </w:p>
        </w:tc>
      </w:tr>
    </w:tbl>
    <w:p>
      <w:pPr>
        <w:spacing w:before="80" w:after="40"/>
      </w:pPr>
      <w:r>
        <w:rPr>
          <w:b/>
        </w:rPr>
        <w:t xml:space="preserve">Formula: </w:t>
      </w:r>
      <w:r>
        <w:rPr>
          <w:rFonts w:ascii="Consolas" w:hAnsi="Consolas"/>
        </w:rPr>
        <w:t>(0.6 x GreenInfra + 0.4 x WellbeingAware)</w:t>
      </w:r>
    </w:p>
    <w:p>
      <w:pPr>
        <w:spacing w:after="200"/>
      </w:pPr>
      <w:r>
        <w:rPr>
          <w:b/>
        </w:rPr>
        <w:t xml:space="preserve">Thresholds: </w:t>
      </w:r>
      <w:r>
        <w:t>Green (On track) &gt;= 75   |   Amber (Watch) &gt;= 50   |   Red (At risk) &lt; 50</w:t>
      </w:r>
    </w:p>
    <w:p>
      <w:pPr>
        <w:pStyle w:val="Heading2"/>
      </w:pPr>
      <w:r>
        <w:t>2. Public Realm Safety &amp; Accessibility</w:t>
      </w:r>
    </w:p>
    <w:p>
      <w:pPr>
        <w:spacing w:after="80"/>
      </w:pPr>
      <w:r>
        <w:rPr>
          <w:b w:val="0"/>
          <w:i w:val="0"/>
        </w:rPr>
        <w:t>Perceived safety, security and quality of the shared public spaces around the development.</w:t>
      </w:r>
    </w:p>
    <w:p>
      <w:pPr>
        <w:spacing w:after="80"/>
      </w:pPr>
      <w:r>
        <w:rPr>
          <w:b/>
        </w:rPr>
        <w:t xml:space="preserve">Category: </w:t>
      </w:r>
      <w:r>
        <w:t xml:space="preserve">Public Realm      </w:t>
      </w:r>
      <w:r>
        <w:rPr>
          <w:b/>
        </w:rPr>
        <w:t xml:space="preserve">Method: </w:t>
      </w:r>
      <w:r>
        <w:t xml:space="preserve">Weighted average      </w:t>
      </w:r>
      <w:r>
        <w:rPr>
          <w:b/>
        </w:rPr>
        <w:t xml:space="preserve">Unit: </w:t>
      </w:r>
      <w:r>
        <w:t>pts</w:t>
      </w:r>
    </w:p>
    <w:tbl>
      <w:tblPr>
        <w:tblStyle w:val="LightGrid-Accent1"/>
        <w:tblW w:type="auto" w:w="0"/>
        <w:tblLook w:firstColumn="1" w:firstRow="1" w:lastColumn="0" w:lastRow="0" w:noHBand="0" w:noVBand="1" w:val="04A0"/>
      </w:tblPr>
      <w:tblGrid>
        <w:gridCol w:w="2880"/>
        <w:gridCol w:w="2880"/>
        <w:gridCol w:w="2880"/>
      </w:tblGrid>
      <w:tr>
        <w:tc>
          <w:tcPr>
            <w:tcW w:type="dxa" w:w="5184"/>
          </w:tcPr>
          <w:p>
            <w:r/>
            <w:r>
              <w:rPr>
                <w:b/>
                <w:sz w:val="19"/>
              </w:rPr>
              <w:t>Input question</w:t>
            </w:r>
          </w:p>
        </w:tc>
        <w:tc>
          <w:tcPr>
            <w:tcW w:type="dxa" w:w="1440"/>
          </w:tcPr>
          <w:p>
            <w:r/>
            <w:r>
              <w:rPr>
                <w:b/>
                <w:sz w:val="19"/>
              </w:rPr>
              <w:t>Channel</w:t>
            </w:r>
          </w:p>
        </w:tc>
        <w:tc>
          <w:tcPr>
            <w:tcW w:type="dxa" w:w="1152"/>
          </w:tcPr>
          <w:p>
            <w:r/>
            <w:r>
              <w:rPr>
                <w:b/>
                <w:sz w:val="19"/>
              </w:rPr>
              <w:t>Weight</w:t>
            </w:r>
          </w:p>
        </w:tc>
      </w:tr>
      <w:tr>
        <w:tc>
          <w:tcPr>
            <w:tcW w:type="dxa" w:w="5184"/>
          </w:tcPr>
          <w:p>
            <w:r/>
            <w:r>
              <w:rPr>
                <w:sz w:val="19"/>
              </w:rPr>
              <w:t>Public Realm Contribution</w:t>
            </w:r>
          </w:p>
        </w:tc>
        <w:tc>
          <w:tcPr>
            <w:tcW w:type="dxa" w:w="1440"/>
          </w:tcPr>
          <w:p>
            <w:r/>
            <w:r>
              <w:rPr>
                <w:sz w:val="19"/>
              </w:rPr>
              <w:t>Online</w:t>
            </w:r>
          </w:p>
        </w:tc>
        <w:tc>
          <w:tcPr>
            <w:tcW w:type="dxa" w:w="1152"/>
          </w:tcPr>
          <w:p>
            <w:r/>
            <w:r>
              <w:rPr>
                <w:sz w:val="19"/>
              </w:rPr>
              <w:t>0.4</w:t>
            </w:r>
          </w:p>
        </w:tc>
      </w:tr>
      <w:tr>
        <w:tc>
          <w:tcPr>
            <w:tcW w:type="dxa" w:w="5184"/>
          </w:tcPr>
          <w:p>
            <w:r/>
            <w:r>
              <w:rPr>
                <w:sz w:val="19"/>
              </w:rPr>
              <w:t>Off-Peak Security</w:t>
            </w:r>
          </w:p>
        </w:tc>
        <w:tc>
          <w:tcPr>
            <w:tcW w:type="dxa" w:w="1440"/>
          </w:tcPr>
          <w:p>
            <w:r/>
            <w:r>
              <w:rPr>
                <w:sz w:val="19"/>
              </w:rPr>
              <w:t>Online</w:t>
            </w:r>
          </w:p>
        </w:tc>
        <w:tc>
          <w:tcPr>
            <w:tcW w:type="dxa" w:w="1152"/>
          </w:tcPr>
          <w:p>
            <w:r/>
            <w:r>
              <w:rPr>
                <w:sz w:val="19"/>
              </w:rPr>
              <w:t>0.35</w:t>
            </w:r>
          </w:p>
        </w:tc>
      </w:tr>
      <w:tr>
        <w:tc>
          <w:tcPr>
            <w:tcW w:type="dxa" w:w="5184"/>
          </w:tcPr>
          <w:p>
            <w:r/>
            <w:r>
              <w:rPr>
                <w:sz w:val="19"/>
              </w:rPr>
              <w:t>Public Space Sentiment</w:t>
            </w:r>
          </w:p>
        </w:tc>
        <w:tc>
          <w:tcPr>
            <w:tcW w:type="dxa" w:w="1440"/>
          </w:tcPr>
          <w:p>
            <w:r/>
            <w:r>
              <w:rPr>
                <w:sz w:val="19"/>
              </w:rPr>
              <w:t>Field</w:t>
            </w:r>
          </w:p>
        </w:tc>
        <w:tc>
          <w:tcPr>
            <w:tcW w:type="dxa" w:w="1152"/>
          </w:tcPr>
          <w:p>
            <w:r/>
            <w:r>
              <w:rPr>
                <w:sz w:val="19"/>
              </w:rPr>
              <w:t>0.25</w:t>
            </w:r>
          </w:p>
        </w:tc>
      </w:tr>
    </w:tbl>
    <w:p>
      <w:pPr>
        <w:spacing w:before="80" w:after="40"/>
      </w:pPr>
      <w:r>
        <w:rPr>
          <w:b/>
        </w:rPr>
        <w:t xml:space="preserve">Formula: </w:t>
      </w:r>
      <w:r>
        <w:rPr>
          <w:rFonts w:ascii="Consolas" w:hAnsi="Consolas"/>
        </w:rPr>
        <w:t>(0.40 x PublicRealm + 0.35 x Security + 0.25 x PublicSpace)</w:t>
      </w:r>
    </w:p>
    <w:p>
      <w:pPr>
        <w:spacing w:after="200"/>
      </w:pPr>
      <w:r>
        <w:rPr>
          <w:b/>
        </w:rPr>
        <w:t xml:space="preserve">Thresholds: </w:t>
      </w:r>
      <w:r>
        <w:t>Green (On track) &gt;= 70   |   Amber (Watch) &gt;= 45   |   Red (At risk) &lt; 45</w:t>
      </w:r>
    </w:p>
    <w:p>
      <w:pPr>
        <w:pStyle w:val="Heading2"/>
      </w:pPr>
      <w:r>
        <w:t>3. Sustainable Mobility Integration</w:t>
      </w:r>
    </w:p>
    <w:p>
      <w:pPr>
        <w:spacing w:after="80"/>
      </w:pPr>
      <w:r>
        <w:rPr>
          <w:b w:val="0"/>
          <w:i w:val="0"/>
        </w:rPr>
        <w:t>Ease and uptake of low-carbon travel - recycling and active-travel infrastructure.</w:t>
      </w:r>
    </w:p>
    <w:p>
      <w:pPr>
        <w:spacing w:after="80"/>
      </w:pPr>
      <w:r>
        <w:rPr>
          <w:b/>
        </w:rPr>
        <w:t xml:space="preserve">Category: </w:t>
      </w:r>
      <w:r>
        <w:t xml:space="preserve">Mobility      </w:t>
      </w:r>
      <w:r>
        <w:rPr>
          <w:b/>
        </w:rPr>
        <w:t xml:space="preserve">Method: </w:t>
      </w:r>
      <w:r>
        <w:t xml:space="preserve">Direct (single input)      </w:t>
      </w:r>
      <w:r>
        <w:rPr>
          <w:b/>
        </w:rPr>
        <w:t xml:space="preserve">Unit: </w:t>
      </w:r>
      <w:r>
        <w:t>pts</w:t>
      </w:r>
    </w:p>
    <w:tbl>
      <w:tblPr>
        <w:tblStyle w:val="LightGrid-Accent1"/>
        <w:tblW w:type="auto" w:w="0"/>
        <w:tblLook w:firstColumn="1" w:firstRow="1" w:lastColumn="0" w:lastRow="0" w:noHBand="0" w:noVBand="1" w:val="04A0"/>
      </w:tblPr>
      <w:tblGrid>
        <w:gridCol w:w="2880"/>
        <w:gridCol w:w="2880"/>
        <w:gridCol w:w="2880"/>
      </w:tblGrid>
      <w:tr>
        <w:tc>
          <w:tcPr>
            <w:tcW w:type="dxa" w:w="5184"/>
          </w:tcPr>
          <w:p>
            <w:r/>
            <w:r>
              <w:rPr>
                <w:b/>
                <w:sz w:val="19"/>
              </w:rPr>
              <w:t>Input question</w:t>
            </w:r>
          </w:p>
        </w:tc>
        <w:tc>
          <w:tcPr>
            <w:tcW w:type="dxa" w:w="1440"/>
          </w:tcPr>
          <w:p>
            <w:r/>
            <w:r>
              <w:rPr>
                <w:b/>
                <w:sz w:val="19"/>
              </w:rPr>
              <w:t>Channel</w:t>
            </w:r>
          </w:p>
        </w:tc>
        <w:tc>
          <w:tcPr>
            <w:tcW w:type="dxa" w:w="1152"/>
          </w:tcPr>
          <w:p>
            <w:r/>
            <w:r>
              <w:rPr>
                <w:b/>
                <w:sz w:val="19"/>
              </w:rPr>
              <w:t>Weight</w:t>
            </w:r>
          </w:p>
        </w:tc>
      </w:tr>
      <w:tr>
        <w:tc>
          <w:tcPr>
            <w:tcW w:type="dxa" w:w="5184"/>
          </w:tcPr>
          <w:p>
            <w:r/>
            <w:r>
              <w:rPr>
                <w:sz w:val="19"/>
              </w:rPr>
              <w:t>Recycling &amp; Active Travel</w:t>
            </w:r>
          </w:p>
        </w:tc>
        <w:tc>
          <w:tcPr>
            <w:tcW w:type="dxa" w:w="1440"/>
          </w:tcPr>
          <w:p>
            <w:r/>
            <w:r>
              <w:rPr>
                <w:sz w:val="19"/>
              </w:rPr>
              <w:t>Online</w:t>
            </w:r>
          </w:p>
        </w:tc>
        <w:tc>
          <w:tcPr>
            <w:tcW w:type="dxa" w:w="1152"/>
          </w:tcPr>
          <w:p>
            <w:r/>
            <w:r>
              <w:rPr>
                <w:sz w:val="19"/>
              </w:rPr>
              <w:t>1</w:t>
            </w:r>
          </w:p>
        </w:tc>
      </w:tr>
    </w:tbl>
    <w:p>
      <w:pPr>
        <w:spacing w:before="80" w:after="40"/>
      </w:pPr>
      <w:r>
        <w:rPr>
          <w:b/>
        </w:rPr>
        <w:t xml:space="preserve">Formula: </w:t>
      </w:r>
      <w:r>
        <w:rPr>
          <w:rFonts w:ascii="Consolas" w:hAnsi="Consolas"/>
        </w:rPr>
        <w:t>ActiveTravel</w:t>
      </w:r>
    </w:p>
    <w:p>
      <w:pPr>
        <w:spacing w:after="200"/>
      </w:pPr>
      <w:r>
        <w:rPr>
          <w:b/>
        </w:rPr>
        <w:t xml:space="preserve">Thresholds: </w:t>
      </w:r>
      <w:r>
        <w:t>Green (On track) &gt;= 70   |   Amber (Watch) &gt;= 45   |   Red (At risk) &lt; 45</w:t>
      </w:r>
    </w:p>
    <w:p>
      <w:pPr>
        <w:pStyle w:val="Heading2"/>
      </w:pPr>
      <w:r>
        <w:t>4. Sustainability Performance</w:t>
      </w:r>
    </w:p>
    <w:p>
      <w:pPr>
        <w:spacing w:after="80"/>
      </w:pPr>
      <w:r>
        <w:rPr>
          <w:b w:val="0"/>
          <w:i w:val="0"/>
        </w:rPr>
        <w:t>Environmental efficiency and the development's contribution to a sustainable public realm.</w:t>
      </w:r>
    </w:p>
    <w:p>
      <w:pPr>
        <w:spacing w:after="80"/>
      </w:pPr>
      <w:r>
        <w:rPr>
          <w:b/>
        </w:rPr>
        <w:t xml:space="preserve">Category: </w:t>
      </w:r>
      <w:r>
        <w:t xml:space="preserve">Sustainability      </w:t>
      </w:r>
      <w:r>
        <w:rPr>
          <w:b/>
        </w:rPr>
        <w:t xml:space="preserve">Method: </w:t>
      </w:r>
      <w:r>
        <w:t xml:space="preserve">Weighted average      </w:t>
      </w:r>
      <w:r>
        <w:rPr>
          <w:b/>
        </w:rPr>
        <w:t xml:space="preserve">Unit: </w:t>
      </w:r>
      <w:r>
        <w:t>pts</w:t>
      </w:r>
    </w:p>
    <w:tbl>
      <w:tblPr>
        <w:tblStyle w:val="LightGrid-Accent1"/>
        <w:tblW w:type="auto" w:w="0"/>
        <w:tblLook w:firstColumn="1" w:firstRow="1" w:lastColumn="0" w:lastRow="0" w:noHBand="0" w:noVBand="1" w:val="04A0"/>
      </w:tblPr>
      <w:tblGrid>
        <w:gridCol w:w="2880"/>
        <w:gridCol w:w="2880"/>
        <w:gridCol w:w="2880"/>
      </w:tblGrid>
      <w:tr>
        <w:tc>
          <w:tcPr>
            <w:tcW w:type="dxa" w:w="5184"/>
          </w:tcPr>
          <w:p>
            <w:r/>
            <w:r>
              <w:rPr>
                <w:b/>
                <w:sz w:val="19"/>
              </w:rPr>
              <w:t>Input question</w:t>
            </w:r>
          </w:p>
        </w:tc>
        <w:tc>
          <w:tcPr>
            <w:tcW w:type="dxa" w:w="1440"/>
          </w:tcPr>
          <w:p>
            <w:r/>
            <w:r>
              <w:rPr>
                <w:b/>
                <w:sz w:val="19"/>
              </w:rPr>
              <w:t>Channel</w:t>
            </w:r>
          </w:p>
        </w:tc>
        <w:tc>
          <w:tcPr>
            <w:tcW w:type="dxa" w:w="1152"/>
          </w:tcPr>
          <w:p>
            <w:r/>
            <w:r>
              <w:rPr>
                <w:b/>
                <w:sz w:val="19"/>
              </w:rPr>
              <w:t>Weight</w:t>
            </w:r>
          </w:p>
        </w:tc>
      </w:tr>
      <w:tr>
        <w:tc>
          <w:tcPr>
            <w:tcW w:type="dxa" w:w="5184"/>
          </w:tcPr>
          <w:p>
            <w:r/>
            <w:r>
              <w:rPr>
                <w:sz w:val="19"/>
              </w:rPr>
              <w:t>Green Infrastructure &amp; Efficiency</w:t>
            </w:r>
          </w:p>
        </w:tc>
        <w:tc>
          <w:tcPr>
            <w:tcW w:type="dxa" w:w="1440"/>
          </w:tcPr>
          <w:p>
            <w:r/>
            <w:r>
              <w:rPr>
                <w:sz w:val="19"/>
              </w:rPr>
              <w:t>Online</w:t>
            </w:r>
          </w:p>
        </w:tc>
        <w:tc>
          <w:tcPr>
            <w:tcW w:type="dxa" w:w="1152"/>
          </w:tcPr>
          <w:p>
            <w:r/>
            <w:r>
              <w:rPr>
                <w:sz w:val="19"/>
              </w:rPr>
              <w:t>0.7</w:t>
            </w:r>
          </w:p>
        </w:tc>
      </w:tr>
      <w:tr>
        <w:tc>
          <w:tcPr>
            <w:tcW w:type="dxa" w:w="5184"/>
          </w:tcPr>
          <w:p>
            <w:r/>
            <w:r>
              <w:rPr>
                <w:sz w:val="19"/>
              </w:rPr>
              <w:t>Public Realm Contribution</w:t>
            </w:r>
          </w:p>
        </w:tc>
        <w:tc>
          <w:tcPr>
            <w:tcW w:type="dxa" w:w="1440"/>
          </w:tcPr>
          <w:p>
            <w:r/>
            <w:r>
              <w:rPr>
                <w:sz w:val="19"/>
              </w:rPr>
              <w:t>Online</w:t>
            </w:r>
          </w:p>
        </w:tc>
        <w:tc>
          <w:tcPr>
            <w:tcW w:type="dxa" w:w="1152"/>
          </w:tcPr>
          <w:p>
            <w:r/>
            <w:r>
              <w:rPr>
                <w:sz w:val="19"/>
              </w:rPr>
              <w:t>0.3</w:t>
            </w:r>
          </w:p>
        </w:tc>
      </w:tr>
    </w:tbl>
    <w:p>
      <w:pPr>
        <w:spacing w:before="80" w:after="40"/>
      </w:pPr>
      <w:r>
        <w:rPr>
          <w:b/>
        </w:rPr>
        <w:t xml:space="preserve">Formula: </w:t>
      </w:r>
      <w:r>
        <w:rPr>
          <w:rFonts w:ascii="Consolas" w:hAnsi="Consolas"/>
        </w:rPr>
        <w:t>(0.7 x GreenInfra + 0.3 x PublicRealm)</w:t>
      </w:r>
    </w:p>
    <w:p>
      <w:pPr>
        <w:spacing w:after="200"/>
      </w:pPr>
      <w:r>
        <w:rPr>
          <w:b/>
        </w:rPr>
        <w:t xml:space="preserve">Thresholds: </w:t>
      </w:r>
      <w:r>
        <w:t>Green (On track) &gt;= 72   |   Amber (Watch) &gt;= 48   |   Red (At risk) &lt; 48</w:t>
      </w:r>
    </w:p>
    <w:p>
      <w:pPr>
        <w:pStyle w:val="Heading2"/>
      </w:pPr>
      <w:r>
        <w:t>5. Community Wellbeing &amp; Belonging</w:t>
      </w:r>
    </w:p>
    <w:p>
      <w:pPr>
        <w:spacing w:after="80"/>
      </w:pPr>
      <w:r>
        <w:rPr>
          <w:b w:val="0"/>
          <w:i w:val="0"/>
        </w:rPr>
        <w:t>Sense of community and wellbeing, and confidence that management responds to residents.</w:t>
      </w:r>
    </w:p>
    <w:p>
      <w:pPr>
        <w:spacing w:after="80"/>
      </w:pPr>
      <w:r>
        <w:rPr>
          <w:b/>
        </w:rPr>
        <w:t xml:space="preserve">Category: </w:t>
      </w:r>
      <w:r>
        <w:t xml:space="preserve">Community      </w:t>
      </w:r>
      <w:r>
        <w:rPr>
          <w:b/>
        </w:rPr>
        <w:t xml:space="preserve">Method: </w:t>
      </w:r>
      <w:r>
        <w:t xml:space="preserve">Weighted average      </w:t>
      </w:r>
      <w:r>
        <w:rPr>
          <w:b/>
        </w:rPr>
        <w:t xml:space="preserve">Unit: </w:t>
      </w:r>
      <w:r>
        <w:t>pts</w:t>
      </w:r>
    </w:p>
    <w:tbl>
      <w:tblPr>
        <w:tblStyle w:val="LightGrid-Accent1"/>
        <w:tblW w:type="auto" w:w="0"/>
        <w:tblLook w:firstColumn="1" w:firstRow="1" w:lastColumn="0" w:lastRow="0" w:noHBand="0" w:noVBand="1" w:val="04A0"/>
      </w:tblPr>
      <w:tblGrid>
        <w:gridCol w:w="2880"/>
        <w:gridCol w:w="2880"/>
        <w:gridCol w:w="2880"/>
      </w:tblGrid>
      <w:tr>
        <w:tc>
          <w:tcPr>
            <w:tcW w:type="dxa" w:w="5184"/>
          </w:tcPr>
          <w:p>
            <w:r/>
            <w:r>
              <w:rPr>
                <w:b/>
                <w:sz w:val="19"/>
              </w:rPr>
              <w:t>Input question</w:t>
            </w:r>
          </w:p>
        </w:tc>
        <w:tc>
          <w:tcPr>
            <w:tcW w:type="dxa" w:w="1440"/>
          </w:tcPr>
          <w:p>
            <w:r/>
            <w:r>
              <w:rPr>
                <w:b/>
                <w:sz w:val="19"/>
              </w:rPr>
              <w:t>Channel</w:t>
            </w:r>
          </w:p>
        </w:tc>
        <w:tc>
          <w:tcPr>
            <w:tcW w:type="dxa" w:w="1152"/>
          </w:tcPr>
          <w:p>
            <w:r/>
            <w:r>
              <w:rPr>
                <w:b/>
                <w:sz w:val="19"/>
              </w:rPr>
              <w:t>Weight</w:t>
            </w:r>
          </w:p>
        </w:tc>
      </w:tr>
      <w:tr>
        <w:tc>
          <w:tcPr>
            <w:tcW w:type="dxa" w:w="5184"/>
          </w:tcPr>
          <w:p>
            <w:r/>
            <w:r>
              <w:rPr>
                <w:sz w:val="19"/>
              </w:rPr>
              <w:t>Community &amp; Wellbeing Awareness</w:t>
            </w:r>
          </w:p>
        </w:tc>
        <w:tc>
          <w:tcPr>
            <w:tcW w:type="dxa" w:w="1440"/>
          </w:tcPr>
          <w:p>
            <w:r/>
            <w:r>
              <w:rPr>
                <w:sz w:val="19"/>
              </w:rPr>
              <w:t>Online</w:t>
            </w:r>
          </w:p>
        </w:tc>
        <w:tc>
          <w:tcPr>
            <w:tcW w:type="dxa" w:w="1152"/>
          </w:tcPr>
          <w:p>
            <w:r/>
            <w:r>
              <w:rPr>
                <w:sz w:val="19"/>
              </w:rPr>
              <w:t>0.5</w:t>
            </w:r>
          </w:p>
        </w:tc>
      </w:tr>
      <w:tr>
        <w:tc>
          <w:tcPr>
            <w:tcW w:type="dxa" w:w="5184"/>
          </w:tcPr>
          <w:p>
            <w:r/>
            <w:r>
              <w:rPr>
                <w:sz w:val="19"/>
              </w:rPr>
              <w:t>Management Responsiveness</w:t>
            </w:r>
          </w:p>
        </w:tc>
        <w:tc>
          <w:tcPr>
            <w:tcW w:type="dxa" w:w="1440"/>
          </w:tcPr>
          <w:p>
            <w:r/>
            <w:r>
              <w:rPr>
                <w:sz w:val="19"/>
              </w:rPr>
              <w:t>Online</w:t>
            </w:r>
          </w:p>
        </w:tc>
        <w:tc>
          <w:tcPr>
            <w:tcW w:type="dxa" w:w="1152"/>
          </w:tcPr>
          <w:p>
            <w:r/>
            <w:r>
              <w:rPr>
                <w:sz w:val="19"/>
              </w:rPr>
              <w:t>0.5</w:t>
            </w:r>
          </w:p>
        </w:tc>
      </w:tr>
    </w:tbl>
    <w:p>
      <w:pPr>
        <w:spacing w:before="80" w:after="40"/>
      </w:pPr>
      <w:r>
        <w:rPr>
          <w:b/>
        </w:rPr>
        <w:t xml:space="preserve">Formula: </w:t>
      </w:r>
      <w:r>
        <w:rPr>
          <w:rFonts w:ascii="Consolas" w:hAnsi="Consolas"/>
        </w:rPr>
        <w:t>(0.5 x WellbeingAware + 0.5 x ManagementResponsiveness)</w:t>
      </w:r>
    </w:p>
    <w:p>
      <w:pPr>
        <w:spacing w:after="200"/>
      </w:pPr>
      <w:r>
        <w:rPr>
          <w:b/>
        </w:rPr>
        <w:t xml:space="preserve">Thresholds: </w:t>
      </w:r>
      <w:r>
        <w:t>Green (On track) &gt;= 68   |   Amber (Watch) &gt;= 45   |   Red (At risk) &lt; 45</w:t>
      </w:r>
    </w:p>
    <w:p>
      <w:pPr>
        <w:pStyle w:val="Heading2"/>
      </w:pPr>
      <w:r>
        <w:t>6. Housing Affordability</w:t>
      </w:r>
    </w:p>
    <w:p>
      <w:pPr>
        <w:spacing w:after="80"/>
      </w:pPr>
      <w:r>
        <w:rPr>
          <w:b w:val="0"/>
          <w:i w:val="0"/>
        </w:rPr>
        <w:t>Housing cost-to-income affordability. No survey question captures this yet - currently a placeholder pending an external housing-data feed.</w:t>
      </w:r>
    </w:p>
    <w:p>
      <w:pPr>
        <w:spacing w:after="80"/>
      </w:pPr>
      <w:r>
        <w:rPr>
          <w:b/>
        </w:rPr>
        <w:t xml:space="preserve">Category: </w:t>
      </w:r>
      <w:r>
        <w:t xml:space="preserve">Housing      </w:t>
      </w:r>
      <w:r>
        <w:rPr>
          <w:b/>
        </w:rPr>
        <w:t xml:space="preserve">Method: </w:t>
      </w:r>
      <w:r>
        <w:t xml:space="preserve">Direct (placeholder)      </w:t>
      </w:r>
      <w:r>
        <w:rPr>
          <w:b/>
        </w:rPr>
        <w:t xml:space="preserve">Unit: </w:t>
      </w:r>
      <w:r>
        <w:t>pts</w:t>
      </w:r>
    </w:p>
    <w:tbl>
      <w:tblPr>
        <w:tblStyle w:val="LightGrid-Accent1"/>
        <w:tblW w:type="auto" w:w="0"/>
        <w:tblLook w:firstColumn="1" w:firstRow="1" w:lastColumn="0" w:lastRow="0" w:noHBand="0" w:noVBand="1" w:val="04A0"/>
      </w:tblPr>
      <w:tblGrid>
        <w:gridCol w:w="2880"/>
        <w:gridCol w:w="2880"/>
        <w:gridCol w:w="2880"/>
      </w:tblGrid>
      <w:tr>
        <w:tc>
          <w:tcPr>
            <w:tcW w:type="dxa" w:w="5184"/>
          </w:tcPr>
          <w:p>
            <w:r/>
            <w:r>
              <w:rPr>
                <w:b/>
                <w:sz w:val="19"/>
              </w:rPr>
              <w:t>Input question</w:t>
            </w:r>
          </w:p>
        </w:tc>
        <w:tc>
          <w:tcPr>
            <w:tcW w:type="dxa" w:w="1440"/>
          </w:tcPr>
          <w:p>
            <w:r/>
            <w:r>
              <w:rPr>
                <w:b/>
                <w:sz w:val="19"/>
              </w:rPr>
              <w:t>Channel</w:t>
            </w:r>
          </w:p>
        </w:tc>
        <w:tc>
          <w:tcPr>
            <w:tcW w:type="dxa" w:w="1152"/>
          </w:tcPr>
          <w:p>
            <w:r/>
            <w:r>
              <w:rPr>
                <w:b/>
                <w:sz w:val="19"/>
              </w:rPr>
              <w:t>Weight</w:t>
            </w:r>
          </w:p>
        </w:tc>
      </w:tr>
      <w:tr>
        <w:tc>
          <w:tcPr>
            <w:tcW w:type="dxa" w:w="5184"/>
          </w:tcPr>
          <w:p>
            <w:r/>
            <w:r>
              <w:rPr>
                <w:sz w:val="19"/>
              </w:rPr>
              <w:t>Housing cost-to-income (external, placeholder)</w:t>
            </w:r>
          </w:p>
        </w:tc>
        <w:tc>
          <w:tcPr>
            <w:tcW w:type="dxa" w:w="1440"/>
          </w:tcPr>
          <w:p>
            <w:r/>
            <w:r>
              <w:rPr>
                <w:sz w:val="19"/>
              </w:rPr>
              <w:t>-</w:t>
            </w:r>
          </w:p>
        </w:tc>
        <w:tc>
          <w:tcPr>
            <w:tcW w:type="dxa" w:w="1152"/>
          </w:tcPr>
          <w:p>
            <w:r/>
            <w:r>
              <w:rPr>
                <w:sz w:val="19"/>
              </w:rPr>
              <w:t>1</w:t>
            </w:r>
          </w:p>
        </w:tc>
      </w:tr>
    </w:tbl>
    <w:p>
      <w:pPr>
        <w:spacing w:before="80" w:after="40"/>
      </w:pPr>
      <w:r>
        <w:rPr>
          <w:b/>
        </w:rPr>
        <w:t xml:space="preserve">Formula: </w:t>
      </w:r>
      <w:r>
        <w:rPr>
          <w:rFonts w:ascii="Consolas" w:hAnsi="Consolas"/>
        </w:rPr>
        <w:t>100 - normalize(cost-to-income ratio)</w:t>
      </w:r>
    </w:p>
    <w:p>
      <w:pPr>
        <w:spacing w:after="200"/>
      </w:pPr>
      <w:r>
        <w:rPr>
          <w:b/>
        </w:rPr>
        <w:t xml:space="preserve">Thresholds: </w:t>
      </w:r>
      <w:r>
        <w:t>Green (On track) &gt;= 65   |   Amber (Watch) &gt;= 45   |   Red (At risk) &lt; 45</w:t>
      </w:r>
    </w:p>
    <w:p>
      <w:pPr>
        <w:pStyle w:val="Heading1"/>
      </w:pPr>
      <w:r>
        <w:t>4. Survey questions used</w:t>
      </w:r>
    </w:p>
    <w:p>
      <w:pPr>
        <w:spacing w:after="80"/>
      </w:pPr>
      <w:r>
        <w:rPr>
          <w:b w:val="0"/>
          <w:i w:val="0"/>
        </w:rPr>
        <w:t>The impact questions that feed the KPIs (all answered 1-5 and normalized to 0-100):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304"/>
          </w:tcPr>
          <w:p>
            <w:r/>
            <w:r>
              <w:rPr>
                <w:b/>
                <w:sz w:val="19"/>
              </w:rPr>
              <w:t>Question code</w:t>
            </w:r>
          </w:p>
        </w:tc>
        <w:tc>
          <w:tcPr>
            <w:tcW w:type="dxa" w:w="3888"/>
          </w:tcPr>
          <w:p>
            <w:r/>
            <w:r>
              <w:rPr>
                <w:b/>
                <w:sz w:val="19"/>
              </w:rPr>
              <w:t>Question</w:t>
            </w:r>
          </w:p>
        </w:tc>
        <w:tc>
          <w:tcPr>
            <w:tcW w:type="dxa" w:w="1152"/>
          </w:tcPr>
          <w:p>
            <w:r/>
            <w:r>
              <w:rPr>
                <w:b/>
                <w:sz w:val="19"/>
              </w:rPr>
              <w:t>Channel</w:t>
            </w:r>
          </w:p>
        </w:tc>
        <w:tc>
          <w:tcPr>
            <w:tcW w:type="dxa" w:w="864"/>
          </w:tcPr>
          <w:p>
            <w:r/>
            <w:r>
              <w:rPr>
                <w:b/>
                <w:sz w:val="19"/>
              </w:rPr>
              <w:t>Scale</w:t>
            </w:r>
          </w:p>
        </w:tc>
        <w:tc>
          <w:tcPr>
            <w:tcW w:type="dxa" w:w="1440"/>
          </w:tcPr>
          <w:p>
            <w:r/>
            <w:r>
              <w:rPr>
                <w:b/>
                <w:sz w:val="19"/>
              </w:rPr>
              <w:t>GRESB ref</w:t>
            </w:r>
          </w:p>
        </w:tc>
      </w:tr>
      <w:tr>
        <w:tc>
          <w:tcPr>
            <w:tcW w:type="dxa" w:w="2304"/>
          </w:tcPr>
          <w:p>
            <w:r/>
            <w:r>
              <w:rPr>
                <w:sz w:val="19"/>
              </w:rPr>
              <w:t>FS_PUBLIC_SPACE</w:t>
            </w:r>
          </w:p>
        </w:tc>
        <w:tc>
          <w:tcPr>
            <w:tcW w:type="dxa" w:w="3888"/>
          </w:tcPr>
          <w:p>
            <w:r/>
            <w:r>
              <w:rPr>
                <w:sz w:val="19"/>
              </w:rPr>
              <w:t>Public Space Sentiment</w:t>
            </w:r>
          </w:p>
        </w:tc>
        <w:tc>
          <w:tcPr>
            <w:tcW w:type="dxa" w:w="1152"/>
          </w:tcPr>
          <w:p>
            <w:r/>
            <w:r>
              <w:rPr>
                <w:sz w:val="19"/>
              </w:rPr>
              <w:t>Field</w:t>
            </w:r>
          </w:p>
        </w:tc>
        <w:tc>
          <w:tcPr>
            <w:tcW w:type="dxa" w:w="864"/>
          </w:tcPr>
          <w:p>
            <w:r/>
            <w:r>
              <w:rPr>
                <w:sz w:val="19"/>
              </w:rPr>
              <w:t>1-5</w:t>
            </w:r>
          </w:p>
        </w:tc>
        <w:tc>
          <w:tcPr>
            <w:tcW w:type="dxa" w:w="1440"/>
          </w:tcPr>
          <w:p>
            <w:r/>
            <w:r>
              <w:rPr>
                <w:sz w:val="19"/>
              </w:rPr>
              <w:t>GRESB TC 6.1</w:t>
            </w:r>
          </w:p>
        </w:tc>
      </w:tr>
      <w:tr>
        <w:tc>
          <w:tcPr>
            <w:tcW w:type="dxa" w:w="2304"/>
          </w:tcPr>
          <w:p>
            <w:r/>
            <w:r>
              <w:rPr>
                <w:sz w:val="19"/>
              </w:rPr>
              <w:t>OL_GREEN_INFRA</w:t>
            </w:r>
          </w:p>
        </w:tc>
        <w:tc>
          <w:tcPr>
            <w:tcW w:type="dxa" w:w="3888"/>
          </w:tcPr>
          <w:p>
            <w:r/>
            <w:r>
              <w:rPr>
                <w:sz w:val="19"/>
              </w:rPr>
              <w:t>Green Infrastructure &amp; Efficiency</w:t>
            </w:r>
          </w:p>
        </w:tc>
        <w:tc>
          <w:tcPr>
            <w:tcW w:type="dxa" w:w="1152"/>
          </w:tcPr>
          <w:p>
            <w:r/>
            <w:r>
              <w:rPr>
                <w:sz w:val="19"/>
              </w:rPr>
              <w:t>Online</w:t>
            </w:r>
          </w:p>
        </w:tc>
        <w:tc>
          <w:tcPr>
            <w:tcW w:type="dxa" w:w="864"/>
          </w:tcPr>
          <w:p>
            <w:r/>
            <w:r>
              <w:rPr>
                <w:sz w:val="19"/>
              </w:rPr>
              <w:t>1-5</w:t>
            </w:r>
          </w:p>
        </w:tc>
        <w:tc>
          <w:tcPr>
            <w:tcW w:type="dxa" w:w="1440"/>
          </w:tcPr>
          <w:p>
            <w:r/>
            <w:r>
              <w:rPr>
                <w:sz w:val="19"/>
              </w:rPr>
              <w:t>-</w:t>
            </w:r>
          </w:p>
        </w:tc>
      </w:tr>
      <w:tr>
        <w:tc>
          <w:tcPr>
            <w:tcW w:type="dxa" w:w="2304"/>
          </w:tcPr>
          <w:p>
            <w:r/>
            <w:r>
              <w:rPr>
                <w:sz w:val="19"/>
              </w:rPr>
              <w:t>OL_ACTIVE_TRAVEL</w:t>
            </w:r>
          </w:p>
        </w:tc>
        <w:tc>
          <w:tcPr>
            <w:tcW w:type="dxa" w:w="3888"/>
          </w:tcPr>
          <w:p>
            <w:r/>
            <w:r>
              <w:rPr>
                <w:sz w:val="19"/>
              </w:rPr>
              <w:t>Recycling &amp; Active Travel</w:t>
            </w:r>
          </w:p>
        </w:tc>
        <w:tc>
          <w:tcPr>
            <w:tcW w:type="dxa" w:w="1152"/>
          </w:tcPr>
          <w:p>
            <w:r/>
            <w:r>
              <w:rPr>
                <w:sz w:val="19"/>
              </w:rPr>
              <w:t>Online</w:t>
            </w:r>
          </w:p>
        </w:tc>
        <w:tc>
          <w:tcPr>
            <w:tcW w:type="dxa" w:w="864"/>
          </w:tcPr>
          <w:p>
            <w:r/>
            <w:r>
              <w:rPr>
                <w:sz w:val="19"/>
              </w:rPr>
              <w:t>1-5</w:t>
            </w:r>
          </w:p>
        </w:tc>
        <w:tc>
          <w:tcPr>
            <w:tcW w:type="dxa" w:w="1440"/>
          </w:tcPr>
          <w:p>
            <w:r/>
            <w:r>
              <w:rPr>
                <w:sz w:val="19"/>
              </w:rPr>
              <w:t>-</w:t>
            </w:r>
          </w:p>
        </w:tc>
      </w:tr>
      <w:tr>
        <w:tc>
          <w:tcPr>
            <w:tcW w:type="dxa" w:w="2304"/>
          </w:tcPr>
          <w:p>
            <w:r/>
            <w:r>
              <w:rPr>
                <w:sz w:val="19"/>
              </w:rPr>
              <w:t>OL_SECURITY</w:t>
            </w:r>
          </w:p>
        </w:tc>
        <w:tc>
          <w:tcPr>
            <w:tcW w:type="dxa" w:w="3888"/>
          </w:tcPr>
          <w:p>
            <w:r/>
            <w:r>
              <w:rPr>
                <w:sz w:val="19"/>
              </w:rPr>
              <w:t>Off-Peak Security</w:t>
            </w:r>
          </w:p>
        </w:tc>
        <w:tc>
          <w:tcPr>
            <w:tcW w:type="dxa" w:w="1152"/>
          </w:tcPr>
          <w:p>
            <w:r/>
            <w:r>
              <w:rPr>
                <w:sz w:val="19"/>
              </w:rPr>
              <w:t>Online</w:t>
            </w:r>
          </w:p>
        </w:tc>
        <w:tc>
          <w:tcPr>
            <w:tcW w:type="dxa" w:w="864"/>
          </w:tcPr>
          <w:p>
            <w:r/>
            <w:r>
              <w:rPr>
                <w:sz w:val="19"/>
              </w:rPr>
              <w:t>1-5</w:t>
            </w:r>
          </w:p>
        </w:tc>
        <w:tc>
          <w:tcPr>
            <w:tcW w:type="dxa" w:w="1440"/>
          </w:tcPr>
          <w:p>
            <w:r/>
            <w:r>
              <w:rPr>
                <w:sz w:val="19"/>
              </w:rPr>
              <w:t>-</w:t>
            </w:r>
          </w:p>
        </w:tc>
      </w:tr>
      <w:tr>
        <w:tc>
          <w:tcPr>
            <w:tcW w:type="dxa" w:w="2304"/>
          </w:tcPr>
          <w:p>
            <w:r/>
            <w:r>
              <w:rPr>
                <w:sz w:val="19"/>
              </w:rPr>
              <w:t>OL_PUBLIC_REALM</w:t>
            </w:r>
          </w:p>
        </w:tc>
        <w:tc>
          <w:tcPr>
            <w:tcW w:type="dxa" w:w="3888"/>
          </w:tcPr>
          <w:p>
            <w:r/>
            <w:r>
              <w:rPr>
                <w:sz w:val="19"/>
              </w:rPr>
              <w:t>Public Realm Contribution</w:t>
            </w:r>
          </w:p>
        </w:tc>
        <w:tc>
          <w:tcPr>
            <w:tcW w:type="dxa" w:w="1152"/>
          </w:tcPr>
          <w:p>
            <w:r/>
            <w:r>
              <w:rPr>
                <w:sz w:val="19"/>
              </w:rPr>
              <w:t>Online</w:t>
            </w:r>
          </w:p>
        </w:tc>
        <w:tc>
          <w:tcPr>
            <w:tcW w:type="dxa" w:w="864"/>
          </w:tcPr>
          <w:p>
            <w:r/>
            <w:r>
              <w:rPr>
                <w:sz w:val="19"/>
              </w:rPr>
              <w:t>1-5</w:t>
            </w:r>
          </w:p>
        </w:tc>
        <w:tc>
          <w:tcPr>
            <w:tcW w:type="dxa" w:w="1440"/>
          </w:tcPr>
          <w:p>
            <w:r/>
            <w:r>
              <w:rPr>
                <w:sz w:val="19"/>
              </w:rPr>
              <w:t>-</w:t>
            </w:r>
          </w:p>
        </w:tc>
      </w:tr>
      <w:tr>
        <w:tc>
          <w:tcPr>
            <w:tcW w:type="dxa" w:w="2304"/>
          </w:tcPr>
          <w:p>
            <w:r/>
            <w:r>
              <w:rPr>
                <w:sz w:val="19"/>
              </w:rPr>
              <w:t>OL_GRIEVANCE</w:t>
            </w:r>
          </w:p>
        </w:tc>
        <w:tc>
          <w:tcPr>
            <w:tcW w:type="dxa" w:w="3888"/>
          </w:tcPr>
          <w:p>
            <w:r/>
            <w:r>
              <w:rPr>
                <w:sz w:val="19"/>
              </w:rPr>
              <w:t>Management Responsiveness</w:t>
            </w:r>
          </w:p>
        </w:tc>
        <w:tc>
          <w:tcPr>
            <w:tcW w:type="dxa" w:w="1152"/>
          </w:tcPr>
          <w:p>
            <w:r/>
            <w:r>
              <w:rPr>
                <w:sz w:val="19"/>
              </w:rPr>
              <w:t>Online</w:t>
            </w:r>
          </w:p>
        </w:tc>
        <w:tc>
          <w:tcPr>
            <w:tcW w:type="dxa" w:w="864"/>
          </w:tcPr>
          <w:p>
            <w:r/>
            <w:r>
              <w:rPr>
                <w:sz w:val="19"/>
              </w:rPr>
              <w:t>1-5</w:t>
            </w:r>
          </w:p>
        </w:tc>
        <w:tc>
          <w:tcPr>
            <w:tcW w:type="dxa" w:w="1440"/>
          </w:tcPr>
          <w:p>
            <w:r/>
            <w:r>
              <w:rPr>
                <w:sz w:val="19"/>
              </w:rPr>
              <w:t>-</w:t>
            </w:r>
          </w:p>
        </w:tc>
      </w:tr>
      <w:tr>
        <w:tc>
          <w:tcPr>
            <w:tcW w:type="dxa" w:w="2304"/>
          </w:tcPr>
          <w:p>
            <w:r/>
            <w:r>
              <w:rPr>
                <w:sz w:val="19"/>
              </w:rPr>
              <w:t>OL_WELLBEING_AWARE</w:t>
            </w:r>
          </w:p>
        </w:tc>
        <w:tc>
          <w:tcPr>
            <w:tcW w:type="dxa" w:w="3888"/>
          </w:tcPr>
          <w:p>
            <w:r/>
            <w:r>
              <w:rPr>
                <w:sz w:val="19"/>
              </w:rPr>
              <w:t>Community &amp; Wellbeing Awareness</w:t>
            </w:r>
          </w:p>
        </w:tc>
        <w:tc>
          <w:tcPr>
            <w:tcW w:type="dxa" w:w="1152"/>
          </w:tcPr>
          <w:p>
            <w:r/>
            <w:r>
              <w:rPr>
                <w:sz w:val="19"/>
              </w:rPr>
              <w:t>Online</w:t>
            </w:r>
          </w:p>
        </w:tc>
        <w:tc>
          <w:tcPr>
            <w:tcW w:type="dxa" w:w="864"/>
          </w:tcPr>
          <w:p>
            <w:r/>
            <w:r>
              <w:rPr>
                <w:sz w:val="19"/>
              </w:rPr>
              <w:t>1-5</w:t>
            </w:r>
          </w:p>
        </w:tc>
        <w:tc>
          <w:tcPr>
            <w:tcW w:type="dxa" w:w="1440"/>
          </w:tcPr>
          <w:p>
            <w:r/>
            <w:r>
              <w:rPr>
                <w:sz w:val="19"/>
              </w:rPr>
              <w:t>-</w:t>
            </w:r>
          </w:p>
        </w:tc>
      </w:tr>
      <w:tr>
        <w:tc>
          <w:tcPr>
            <w:tcW w:type="dxa" w:w="2304"/>
          </w:tcPr>
          <w:p>
            <w:r/>
            <w:r>
              <w:rPr>
                <w:sz w:val="19"/>
              </w:rPr>
              <w:t>housing_cost_to_income</w:t>
            </w:r>
          </w:p>
        </w:tc>
        <w:tc>
          <w:tcPr>
            <w:tcW w:type="dxa" w:w="3888"/>
          </w:tcPr>
          <w:p>
            <w:r/>
            <w:r>
              <w:rPr>
                <w:sz w:val="19"/>
              </w:rPr>
              <w:t>Housing cost-to-income (external, placeholder)</w:t>
            </w:r>
          </w:p>
        </w:tc>
        <w:tc>
          <w:tcPr>
            <w:tcW w:type="dxa" w:w="1152"/>
          </w:tcPr>
          <w:p>
            <w:r/>
            <w:r>
              <w:rPr>
                <w:sz w:val="19"/>
              </w:rPr>
              <w:t>-</w:t>
            </w:r>
          </w:p>
        </w:tc>
        <w:tc>
          <w:tcPr>
            <w:tcW w:type="dxa" w:w="864"/>
          </w:tcPr>
          <w:p>
            <w:r/>
            <w:r>
              <w:rPr>
                <w:sz w:val="19"/>
              </w:rPr>
              <w:t>%</w:t>
            </w:r>
          </w:p>
        </w:tc>
        <w:tc>
          <w:tcPr>
            <w:tcW w:type="dxa" w:w="1440"/>
          </w:tcPr>
          <w:p>
            <w:r/>
            <w:r>
              <w:rPr>
                <w:sz w:val="19"/>
              </w:rPr>
              <w:t>-</w:t>
            </w:r>
          </w:p>
        </w:tc>
      </w:tr>
    </w:tbl>
    <w:p>
      <w:pPr>
        <w:pStyle w:val="Heading1"/>
      </w:pPr>
      <w:r>
        <w:t>5. Notes</w:t>
      </w:r>
    </w:p>
    <w:p>
      <w:pPr>
        <w:pStyle w:val="ListBullet"/>
        <w:spacing w:after="60"/>
      </w:pPr>
      <w:r>
        <w:t>The KPI list, source weights and thresholds are provisional and can be changed live in the KPI Engine screen (no code changes).</w:t>
      </w:r>
    </w:p>
    <w:p>
      <w:pPr>
        <w:pStyle w:val="ListBullet"/>
        <w:spacing w:after="60"/>
      </w:pPr>
      <w:r>
        <w:t>Housing Affordability is a placeholder: no survey question captures cost-to-income, so it currently runs on synthesized data pending an external housing-data feed.</w:t>
      </w:r>
    </w:p>
    <w:p>
      <w:pPr>
        <w:pStyle w:val="ListBullet"/>
        <w:spacing w:after="60"/>
      </w:pPr>
      <w:r>
        <w:t>Categorical questions (accessibility cohort, local proximity, top-2 offerings, energy awareness) are captured and stored, but are currently descriptive-only and do not feed the KPI scores.</w:t>
      </w:r>
    </w:p>
    <w:p>
      <w:pPr>
        <w:pStyle w:val="ListBullet"/>
        <w:spacing w:after="60"/>
      </w:pPr>
      <w:r>
        <w:t>Surveys run on a quarterly cadence; trends and history are bucketed by quarter (Q1-Q4).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