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Volumetric 3D Display Module Requirements</w:t>
      </w:r>
    </w:p>
    <w:p w:rsidR="00000000" w:rsidDel="00000000" w:rsidP="00000000" w:rsidRDefault="00000000" w:rsidRPr="00000000" w14:paraId="00000002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Background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Volumetric displays have been used in medical imaging, advertising, simulation, video gaming and more. The ability to project a 3D image is possible by taking advantage of the human persistence of vision. An example of this for this project would be spinning LEDs at a minimum of 1800 revolutions per minute, such that the human eye cannot comprehend individual LEDs at a single point. When we combine this effect with the precise control of on/off patterning of the LEDs we create an illusion of a fixed image being formed.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Description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A volumetric 3D display module is a spinning array of LEDs that will project a 3D image that appears to be floating in the air. This will be done by taking advantage of the persistence of vision effect mentioned earlier in this document.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Design a low cost, fairly flat designed 3D display module that will be used as a subsystem suitable for the integration into gaming applications.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Product Design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Needs:</w:t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Low-Cost: Less than or equal to $150/module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3D display module (2x)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Portable: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Flat - Less than 3 inches in height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Circular with a diameter of less than 7 inches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a single image of a 3D object about no less than 2” in diameter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Uses a ring motor to spin the linear array of LEDs at no less than 1800 rpm to induce “persistence of vision” effect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Easy 3D image transferring interface - sd card, wireless, or USB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High LED quality for bright environments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On/off control via incorporation of motion sensor control to turn off the display via “waving” above the module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Safe and easy to use (ie: no sharp edges)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u w:val="single"/>
          <w:rtl w:val="0"/>
        </w:rPr>
        <w:t xml:space="preserve">Maybe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Design Specifications: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LEDs -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APA102 2020 - Smart RGB LEDs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Ring Motor -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Gesture Sensor -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VCNL4020-GS08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Arduino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color w:val="172b4d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ESC 30A</w:t>
      </w:r>
      <w:r w:rsidDel="00000000" w:rsidR="00000000" w:rsidRPr="00000000">
        <w:rPr>
          <w:color w:val="172b4d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color w:val="172b4d"/>
          <w:highlight w:val="white"/>
        </w:rPr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Competition: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  <w:t xml:space="preserve">Team 12: Arturo Espino, Zheliang Zhang, Shiyu Li, Sean Schorzman</w:t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  <w:t xml:space="preserve">Advisor: John Lipor</w:t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  <w:t xml:space="preserve">Sponsor: Daybreak Ventures, LLC </w:t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  <w:t xml:space="preserve">Ver. 1 2/2/2020 </w:t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