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color w:val="1E293B"/>
          <w:sz w:val="30"/>
        </w:rPr>
        <w:t>ANEXO TÉCNICO: AVANCE EN EL DESARROLLO DEL PROTOTIPO (MVP) Y VALIDACIÓN EXPERIMENTAL DEL MODELO PREDICTIVO</w:t>
      </w:r>
    </w:p>
    <w:p>
      <w:pPr>
        <w:jc w:val="center"/>
      </w:pPr>
      <w:r>
        <w:rPr>
          <w:i/>
          <w:color w:val="64748B"/>
          <w:sz w:val="19"/>
        </w:rPr>
        <w:t>Proyecto: Inteligencia artificial en la inversión de criptomonedas</w:t>
        <w:br/>
        <w:t>Autor: Samuel David Miranda Pomar | UNINPAHU</w:t>
      </w:r>
    </w:p>
    <w:p>
      <w:pPr>
        <w:spacing w:after="120"/>
      </w:pPr>
    </w:p>
    <w:p>
      <w:pPr>
        <w:spacing w:line="276" w:lineRule="auto" w:after="200"/>
      </w:pPr>
      <w:r>
        <w:t>Durante la fase inicial de desarrollo del proyecto de grado se diseñó e implementó la arquitectura tecnológica base del sistema, dando cumplimiento operativo al objetivo general y a los objetivos específicos orientados a la ingesta de datos, modelamiento predictivo, evaluación bajo gestión de riesgo y despliegue de una interfaz interactiva para el usuario.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5"/>
        </w:rPr>
        <w:t>1. Ingesta y Estructuración de Datos de Mercado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Conectividad con Exchange: </w:t>
      </w:r>
      <w:r>
        <w:t>Se integró la librería CCXT para establecer un canal de comunicación seguro y eficiente con la API pública de Binance en tiempo real, garantizando trazabilidad sin exponer claves privadas.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Construcción del Dataset: </w:t>
      </w:r>
      <w:r>
        <w:t>Se recopilaron 2.160 registros horarios correspondientes a una ventana de 90 días para el par ETH/USDT, estructurados bajo el estándar internacional OHLCV (Open, High, Low, Close, Volume).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5"/>
        </w:rPr>
        <w:t>2. Ingeniería de Variables (Feature Engineering)</w:t>
      </w:r>
    </w:p>
    <w:p>
      <w:pPr>
        <w:spacing w:line="276" w:lineRule="auto"/>
      </w:pPr>
      <w:r>
        <w:t>Para mitigar el ruido y la no-estacionariedad de los precios brutos, se construyó un vector multivariable normalizado: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Indicadores de Impulso y Tendencia: </w:t>
      </w:r>
      <w:r>
        <w:t>Índice de Fuerza Relativa (RSI 14 periodos), Convergencia/Divergencia de Medias Móviles (MACD) y cruce relativo de Medias Móviles Exponenciales (EMA 9 vs EMA 21).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Indicadores de Volatilidad y Flujo: </w:t>
      </w:r>
      <w:r>
        <w:t>Rango Verdadero Medio (ATR) normalizado respecto al precio de cierre y Volumen Relativo (Volume Surge comparado contra su media móvil de 20 periodos).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Definición del Target Supervisado: </w:t>
      </w:r>
      <w:r>
        <w:t>Se definió una etiqueta binaria (target = 1) con un horizonte temporal de 6 horas, identificando subidas sostenidas superiores al 1.2% capaces de absorber las comisiones operativas.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5"/>
        </w:rPr>
        <w:t>3. Entrenamiento y Calibración del Modelo de Machine Learning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Algoritmo de Ensamble: </w:t>
      </w:r>
      <w:r>
        <w:t>Se entrenó un clasificador Random Forest (200 estimadores, profundidad máxima 5) por su robustez frente al sobreajuste.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Validación Cronológica Estricta: </w:t>
      </w:r>
      <w:r>
        <w:t>Se realizó una partición temporal (80% entrenamiento, 20% prueba/validación fuera de muestra) para erradicar el sesgo de anticipación (look-ahead bias).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Balanceo de Clases: </w:t>
      </w:r>
      <w:r>
        <w:t>Se implementó 'balanced_subsample' para compensar la asimetría de señales. Las variables de mayor peso predictivo identificadas por la IA fueron RSI (21.86%), ATR/Volatilidad (20.85%) y EMA Cross (18.56%).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5"/>
        </w:rPr>
        <w:t>4. Motor de Simulación y Gestión de Riesgo Dinámica (Backtesting)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Fricción Financiera Real: </w:t>
      </w:r>
      <w:r>
        <w:t>Se aplicó una tasa del 0.1% de comisión por operación ejecutada (estándar de Binance Spot).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Cortes Dinámicos por ATR: </w:t>
      </w:r>
      <w:r>
        <w:t>Se implementó un Stop-Loss adaptativo a 1.5x ATR y un Take-Profit a 3.0x ATR, garantizando una relación matemática Beneficio/Riesgo de 2:1.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Rendimiento Obtenido: </w:t>
      </w:r>
      <w:r>
        <w:t>La estrategia alcanzó un Win Rate del 57.14% (4 de 7 operaciones ganadoras) y una rentabilidad neta del +8.24% (frente a +11.56% de Buy &amp; Hold), reduciendo drásticamente la exposición al riesgo en comparación con la tenencia pasiva.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5"/>
        </w:rPr>
        <w:t>5. Despliegue de la Plataforma Web y Dashboard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Capa Backend (FastAPI): </w:t>
      </w:r>
      <w:r>
        <w:t>Microservicio REST con endpoints para inferencia en tiempo real (/api/live-signal) y simulación personalizada de cartera (/api/simulate).</w:t>
      </w:r>
    </w:p>
    <w:p>
      <w:pPr>
        <w:pStyle w:val="ListBullet"/>
        <w:spacing w:line="276" w:lineRule="auto" w:after="60"/>
      </w:pPr>
      <w:r>
        <w:rPr>
          <w:b/>
          <w:color w:val="1E293B"/>
        </w:rPr>
        <w:t xml:space="preserve">Capa Frontend (Dashboard): </w:t>
      </w:r>
      <w:r>
        <w:t>Interfaz responsiva construida con Tailwind CSS, provista de monitoreo en vivo de señales de IA, simulador paramétrico de capital y un módulo educativo centrado en mitigación de riesgos.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