
<file path=[Content_Types].xml><?xml version="1.0" encoding="utf-8"?>
<Types xmlns="http://schemas.openxmlformats.org/package/2006/content-types">
  <Default Extension="png" ContentType="image/png"/>
  <Default Extension="wdp" ContentType="image/vnd.ms-photo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/>
        <w:ind w:firstLine="567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3 </w:t>
      </w:r>
      <w:r>
        <w:rPr>
          <w:szCs w:val="28"/>
        </w:rPr>
        <w:t>ЭКСПЛУТАЦИОННАЯ</w:t>
      </w:r>
      <w:r>
        <w:rPr>
          <w:szCs w:val="28"/>
          <w:lang w:val="en-US"/>
        </w:rPr>
        <w:t xml:space="preserve"> </w:t>
      </w:r>
      <w:r>
        <w:rPr>
          <w:szCs w:val="28"/>
        </w:rPr>
        <w:t>ЧАСТЬ</w:t>
      </w:r>
    </w:p>
    <w:p>
      <w:pPr>
        <w:spacing w:after="0"/>
        <w:jc w:val="both"/>
        <w:rPr>
          <w:szCs w:val="28"/>
          <w:lang w:val="en-US"/>
        </w:rPr>
      </w:pP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3.1 Проектная реализация</w:t>
      </w:r>
    </w:p>
    <w:p>
      <w:pPr>
        <w:shd w:val="clear" w:color="auto" w:fill="FFFFFF" w:themeFill="background1"/>
        <w:spacing w:after="0"/>
        <w:jc w:val="both"/>
        <w:rPr>
          <w:color w:val="FF0000"/>
          <w:szCs w:val="28"/>
        </w:rPr>
      </w:pPr>
    </w:p>
    <w:p>
      <w:pPr>
        <w:shd w:val="clear" w:color="auto" w:fill="FFFFFF" w:themeFill="background1"/>
        <w:spacing w:after="0"/>
        <w:jc w:val="both"/>
        <w:rPr>
          <w:color w:val="FF0000"/>
          <w:szCs w:val="28"/>
        </w:rPr>
      </w:pPr>
    </w:p>
    <w:p>
      <w:pPr>
        <w:shd w:val="clear" w:color="auto" w:fill="FFFFFF" w:themeFill="background1"/>
        <w:spacing w:after="0"/>
        <w:jc w:val="both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Проекты на Solidity, языке программирования для написания смарт-контрактов на платформе Ethereum, создаются с помощью различных интегрированных сред разработки (IDE) и инструментов для разработки децентрализованных приложений (DApps). </w:t>
      </w:r>
    </w:p>
    <w:p>
      <w:pPr>
        <w:shd w:val="clear" w:color="auto" w:fill="FFFFFF" w:themeFill="background1"/>
        <w:spacing w:after="0"/>
        <w:jc w:val="both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В рамках проекта диссертации разработка будет идти в несколько этапов: </w:t>
      </w:r>
    </w:p>
    <w:p>
      <w:pPr>
        <w:pStyle w:val="4"/>
        <w:numPr>
          <w:ilvl w:val="0"/>
          <w:numId w:val="1"/>
        </w:numPr>
        <w:shd w:val="clear" w:color="auto" w:fill="FFFFFF" w:themeFill="background1"/>
        <w:tabs>
          <w:tab w:val="left" w:pos="851"/>
        </w:tabs>
        <w:ind w:left="0" w:firstLine="567"/>
        <w:jc w:val="both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Выбор среды разработки (IDE). Некоторые популярные IDE для Solidity включают Remix, Visual Studio Code с расширением Solidity, Truffle Suite и Ethereum Studio.</w:t>
      </w:r>
    </w:p>
    <w:p>
      <w:pPr>
        <w:pStyle w:val="4"/>
        <w:numPr>
          <w:ilvl w:val="0"/>
          <w:numId w:val="1"/>
        </w:numPr>
        <w:shd w:val="clear" w:color="auto" w:fill="FFFFFF" w:themeFill="background1"/>
        <w:tabs>
          <w:tab w:val="left" w:pos="851"/>
        </w:tabs>
        <w:ind w:left="0" w:firstLine="567"/>
        <w:jc w:val="both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Создание нового проекта. В большинстве IDE есть функциональность для создания нового проекта или открытия существующего.</w:t>
      </w:r>
    </w:p>
    <w:p>
      <w:pPr>
        <w:pStyle w:val="4"/>
        <w:numPr>
          <w:ilvl w:val="0"/>
          <w:numId w:val="1"/>
        </w:numPr>
        <w:shd w:val="clear" w:color="auto" w:fill="FFFFFF" w:themeFill="background1"/>
        <w:tabs>
          <w:tab w:val="left" w:pos="851"/>
        </w:tabs>
        <w:ind w:left="0" w:firstLine="567"/>
        <w:jc w:val="both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Написание смарт-контрактов. Использование языка Solidity для написания смарт-контрактов. Solidity похож на языки программирования, такие как JavaScript и C++, и предоставляет возможности для создания логики контрактов.</w:t>
      </w:r>
    </w:p>
    <w:p>
      <w:pPr>
        <w:pStyle w:val="4"/>
        <w:numPr>
          <w:ilvl w:val="0"/>
          <w:numId w:val="1"/>
        </w:numPr>
        <w:shd w:val="clear" w:color="auto" w:fill="FFFFFF" w:themeFill="background1"/>
        <w:tabs>
          <w:tab w:val="left" w:pos="851"/>
        </w:tabs>
        <w:ind w:left="0" w:firstLine="567"/>
        <w:jc w:val="both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Тестирование контрактов. Можно разработать тесты для смарт-контрактов, чтобы убедиться, что они работают правильно если есть время. Для этого можно использовать инструменты для тестирования контрактов, такие как Truffle или встроенные средства тестирования в IDE.</w:t>
      </w:r>
    </w:p>
    <w:p>
      <w:pPr>
        <w:pStyle w:val="4"/>
        <w:numPr>
          <w:ilvl w:val="0"/>
          <w:numId w:val="1"/>
        </w:numPr>
        <w:shd w:val="clear" w:color="auto" w:fill="FFFFFF" w:themeFill="background1"/>
        <w:tabs>
          <w:tab w:val="left" w:pos="851"/>
        </w:tabs>
        <w:ind w:left="0" w:firstLine="567"/>
        <w:jc w:val="both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Компиляция контрактов. Компиляция смарт-контракта в байткод, который будет выполнен на виртуальной машине Ethereum (EVM). Большинство IDE предоставляют инструменты для компиляции контрактов.</w:t>
      </w:r>
    </w:p>
    <w:p>
      <w:pPr>
        <w:pStyle w:val="4"/>
        <w:numPr>
          <w:ilvl w:val="0"/>
          <w:numId w:val="1"/>
        </w:numPr>
        <w:shd w:val="clear" w:color="auto" w:fill="FFFFFF" w:themeFill="background1"/>
        <w:tabs>
          <w:tab w:val="left" w:pos="851"/>
        </w:tabs>
        <w:ind w:left="0" w:firstLine="567"/>
        <w:jc w:val="both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Развертывание на тестовую сеть </w:t>
      </w:r>
      <w:r>
        <w:rPr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Sepolia</w:t>
      </w: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Ethereum. Можно воспользоваться инструментами для развертывания смарт-контракта на сеть Ethereum. Это может быть тестовая сеть (например, Rinkeby или Ropsten) или основная сеть Ethereum.</w:t>
      </w:r>
    </w:p>
    <w:p>
      <w:pPr>
        <w:pStyle w:val="4"/>
        <w:numPr>
          <w:ilvl w:val="0"/>
          <w:numId w:val="1"/>
        </w:numPr>
        <w:shd w:val="clear" w:color="auto" w:fill="FFFFFF" w:themeFill="background1"/>
        <w:tabs>
          <w:tab w:val="left" w:pos="851"/>
        </w:tabs>
        <w:ind w:left="0" w:firstLine="567"/>
        <w:jc w:val="both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Взаимодействие с контрактом. После развертывания можно будет взаимодействовать со смарт-контрактом, отправляя транзакции к нему через веб-интерфейс, внешние приложения или другие контракты.</w:t>
      </w:r>
    </w:p>
    <w:p>
      <w:pPr>
        <w:shd w:val="clear" w:color="auto" w:fill="FFFFFF" w:themeFill="background1"/>
        <w:spacing w:after="0"/>
        <w:ind w:firstLine="567"/>
        <w:jc w:val="both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Каждая среда разработки и инструменты могут иметь свои уникальные особенности и интерфейсы, но общий процесс создания проектов на Solidity остается примерно таким же.</w:t>
      </w:r>
    </w:p>
    <w:p>
      <w:pPr>
        <w:shd w:val="clear" w:color="auto" w:fill="FFFFFF" w:themeFill="background1"/>
        <w:spacing w:after="0"/>
        <w:ind w:firstLine="567"/>
        <w:jc w:val="both"/>
        <w:rPr>
          <w:b/>
          <w:szCs w:val="28"/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В рамках диссертации разработка программы идет через пакет </w:t>
      </w:r>
      <w:r>
        <w:rPr>
          <w:szCs w:val="28"/>
          <w:lang w:val="en-US"/>
        </w:rPr>
        <w:t>Hardhat</w:t>
      </w:r>
      <w:r>
        <w:rPr>
          <w:szCs w:val="28"/>
        </w:rPr>
        <w:t xml:space="preserve"> </w:t>
      </w:r>
      <w:r>
        <w:rPr>
          <w:szCs w:val="28"/>
          <w:lang w:val="en-US"/>
        </w:rPr>
        <w:t>toolbox</w:t>
      </w:r>
      <w:r>
        <w:rPr>
          <w:szCs w:val="28"/>
        </w:rPr>
        <w:t>, который в свою очередь позволяет установить фреймворк</w:t>
      </w:r>
      <w:r>
        <w:rPr>
          <w:b/>
          <w:szCs w:val="28"/>
        </w:rPr>
        <w:t xml:space="preserve"> </w:t>
      </w:r>
      <w:r>
        <w:rPr>
          <w:szCs w:val="28"/>
          <w:lang w:val="en-US"/>
        </w:rPr>
        <w:t>Open</w:t>
      </w:r>
      <w:r>
        <w:rPr>
          <w:szCs w:val="28"/>
        </w:rPr>
        <w:t xml:space="preserve"> Z</w:t>
      </w:r>
      <w:r>
        <w:rPr>
          <w:szCs w:val="28"/>
          <w:lang w:val="en-US"/>
        </w:rPr>
        <w:t>eppelin</w:t>
      </w:r>
      <w:r>
        <w:rPr>
          <w:szCs w:val="28"/>
        </w:rPr>
        <w:t xml:space="preserve">. В </w:t>
      </w:r>
      <w:r>
        <w:rPr>
          <w:szCs w:val="28"/>
          <w:lang w:val="en-US"/>
        </w:rPr>
        <w:t>Open</w:t>
      </w:r>
      <w:r>
        <w:rPr>
          <w:szCs w:val="28"/>
        </w:rPr>
        <w:t xml:space="preserve"> </w:t>
      </w:r>
      <w:r>
        <w:rPr>
          <w:szCs w:val="28"/>
          <w:lang w:val="en-US"/>
        </w:rPr>
        <w:t>Zeppelin</w:t>
      </w:r>
      <w:r>
        <w:rPr>
          <w:szCs w:val="28"/>
        </w:rPr>
        <w:t xml:space="preserve"> есть уже написанные стандартные смартконтракты реализующие логику </w:t>
      </w:r>
      <w:r>
        <w:rPr>
          <w:szCs w:val="28"/>
          <w:lang w:val="en-US"/>
        </w:rPr>
        <w:t>ERC</w:t>
      </w:r>
      <w:r>
        <w:rPr>
          <w:szCs w:val="28"/>
        </w:rPr>
        <w:t xml:space="preserve">20 и </w:t>
      </w:r>
      <w:r>
        <w:rPr>
          <w:szCs w:val="28"/>
          <w:lang w:val="en-US"/>
        </w:rPr>
        <w:t>ERC</w:t>
      </w:r>
      <w:r>
        <w:rPr>
          <w:szCs w:val="28"/>
        </w:rPr>
        <w:t>721.</w:t>
      </w:r>
    </w:p>
    <w:p>
      <w:pPr>
        <w:spacing w:after="0"/>
        <w:ind w:firstLine="567"/>
        <w:jc w:val="both"/>
        <w:rPr>
          <w:b/>
          <w:szCs w:val="28"/>
        </w:rPr>
      </w:pPr>
      <w:r>
        <w:rPr>
          <w:szCs w:val="28"/>
        </w:rPr>
        <w:t>Токены ERC-20 - это цифровые токены, созданные на базе блокчейна Ethereum в соответствии с его стандартом ERC-20 (Ethereum Request for Comments 20). Этот стандарт определяет базовые правила, которыми должен следовать любой токен, чтобы быть совместимым с сетью Ethereum. Токены ERC-20 являются самыми распространенными и широко используемыми токенами на этой платформе.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Основные характеристики токенов ERC-20 включают следующее:</w:t>
      </w:r>
    </w:p>
    <w:p>
      <w:pPr>
        <w:pStyle w:val="4"/>
        <w:numPr>
          <w:ilvl w:val="0"/>
          <w:numId w:val="2"/>
        </w:numPr>
        <w:tabs>
          <w:tab w:val="left" w:pos="851"/>
        </w:tabs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Передача: токены ERC-20 могут быть переданы с одного Ethereum-адреса на другой.</w:t>
      </w:r>
    </w:p>
    <w:p>
      <w:pPr>
        <w:pStyle w:val="4"/>
        <w:numPr>
          <w:ilvl w:val="0"/>
          <w:numId w:val="2"/>
        </w:numPr>
        <w:tabs>
          <w:tab w:val="left" w:pos="851"/>
        </w:tabs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Баланс: они отслеживают баланс каждого адреса, который содержит эти токены.</w:t>
      </w:r>
    </w:p>
    <w:p>
      <w:pPr>
        <w:pStyle w:val="4"/>
        <w:numPr>
          <w:ilvl w:val="0"/>
          <w:numId w:val="2"/>
        </w:numPr>
        <w:tabs>
          <w:tab w:val="left" w:pos="851"/>
        </w:tabs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Переносимость: токены ERC-20 могут быть легко обмениваемыми и торгуемыми на различных криптовалютных биржах.</w:t>
      </w:r>
    </w:p>
    <w:p>
      <w:pPr>
        <w:pStyle w:val="4"/>
        <w:numPr>
          <w:ilvl w:val="0"/>
          <w:numId w:val="2"/>
        </w:numPr>
        <w:tabs>
          <w:tab w:val="left" w:pos="851"/>
        </w:tabs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Дивиденды и голосование: некоторые токены ERC-20 могут предоставлять дополнительные функции, такие как возможность голосования или получения дивидендов.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Стандарт ERC-20 устанавливает набор методов (называемых интерфейсами), которые должны быть реализованы для управления токенами в смарт-контракте на блокчейне Ethereum. Эти методы включают функции для передачи токенов, проверки баланса, получения общего количества токенов и другие функции, что облегчает совместимость и взаимодействие с токенами на различных сервисах и кошельках, поддерживающих стандарт ERC-20.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ERC20 и ERC721 – это оба стандарты токенов, разработанные для Ethereum блокчейна, но они предназначены для различных целей. ERC20 - это стандарт, который определяет интерфейс для fungible (заменимых) токенов на Ethereum. Токены ERC20 можно рассматривать как однородные монеты или фишки, у каждой из которых есть одинаковая стоимость и свойства. Например, многие токены, выпущенные в рамках ICO (Initial Coin Offering), являются ERC20 токенами. Они обычно используются для обмена, торговли и участия в различных сетевых действиях. На рисунке 14 показан пример тестов токена ERC20.</w:t>
      </w:r>
    </w:p>
    <w:p>
      <w:pPr>
        <w:spacing w:after="0"/>
        <w:jc w:val="both"/>
        <w:rPr>
          <w:szCs w:val="28"/>
        </w:rPr>
      </w:pPr>
    </w:p>
    <w:p>
      <w:pPr>
        <w:spacing w:after="0"/>
        <w:jc w:val="center"/>
        <w:rPr>
          <w:szCs w:val="28"/>
        </w:rPr>
      </w:pPr>
      <w:r>
        <w:rPr>
          <w:lang w:eastAsia="ru-RU"/>
        </w:rPr>
        <w:drawing>
          <wp:inline distT="0" distB="0" distL="0" distR="0">
            <wp:extent cx="5596890" cy="3031490"/>
            <wp:effectExtent l="0" t="0" r="1143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3581" cy="3035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both"/>
        <w:rPr>
          <w:szCs w:val="28"/>
        </w:rPr>
      </w:pPr>
    </w:p>
    <w:p>
      <w:pPr>
        <w:spacing w:after="0"/>
        <w:jc w:val="center"/>
        <w:rPr>
          <w:szCs w:val="28"/>
        </w:rPr>
      </w:pPr>
      <w:r>
        <w:rPr>
          <w:szCs w:val="28"/>
        </w:rPr>
        <w:t>Рисунок 14 - Тесты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ERC721 – это стандарт для невзаимозаменяемых токенов на Ethereum, известных также как NFT (Non-Fungible Tokens). Каждый токен ERC721 уникален и имеет свои собственные характеристики и свойства. NFT представляют уникальные цифровые активы, такие как искусство, цифровые коллекционные предметы, виртуальные земельные участки и многое другое. Они позволяют уникальные цифровые объекты быть несопоставимыми и не поддающимися обмену в одностороннем порядке с другими объектами.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 xml:space="preserve">Хотя оба стандарта ERC20 и ERC721 являются частями экосистемы Ethereum и используются для создания токенов, они различаются по своей природе и предназначению. ERC20 используется для fungible токенов с одинаковой стоимостью, в то время как ERC721 применяется для уникальных и невзаимозаменяемых токенов. На рисунке 15 показа </w:t>
      </w:r>
      <w:r>
        <w:rPr>
          <w:szCs w:val="28"/>
          <w:lang w:val="en-US"/>
        </w:rPr>
        <w:t>IDE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в которой можно вести разработку подобных смартконтрактов.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 xml:space="preserve">Основные методы смартконтракта описаны ниже. </w:t>
      </w:r>
    </w:p>
    <w:p>
      <w:pPr>
        <w:numPr>
          <w:ilvl w:val="0"/>
          <w:numId w:val="3"/>
        </w:numPr>
        <w:tabs>
          <w:tab w:val="left" w:pos="851"/>
          <w:tab w:val="clear" w:pos="720"/>
        </w:tabs>
        <w:spacing w:after="0"/>
        <w:ind w:left="0" w:firstLine="567"/>
        <w:jc w:val="both"/>
        <w:rPr>
          <w:szCs w:val="28"/>
        </w:rPr>
      </w:pPr>
      <w:r>
        <w:rPr>
          <w:szCs w:val="28"/>
        </w:rPr>
        <w:t xml:space="preserve">Функция </w:t>
      </w:r>
      <w:r>
        <w:rPr>
          <w:bCs/>
          <w:szCs w:val="28"/>
        </w:rPr>
        <w:t>openAuction</w:t>
      </w:r>
      <w:r>
        <w:rPr>
          <w:szCs w:val="28"/>
        </w:rPr>
        <w:t>:</w:t>
      </w:r>
    </w:p>
    <w:p>
      <w:pPr>
        <w:tabs>
          <w:tab w:val="left" w:pos="851"/>
        </w:tabs>
        <w:spacing w:after="0"/>
        <w:ind w:left="567"/>
        <w:jc w:val="both"/>
        <w:rPr>
          <w:szCs w:val="28"/>
        </w:rPr>
      </w:pPr>
      <w:r>
        <w:rPr>
          <w:szCs w:val="28"/>
        </w:rPr>
        <w:t>- Создает новый уникальный токен не заменяемый (NFT).</w:t>
      </w:r>
    </w:p>
    <w:p>
      <w:pPr>
        <w:tabs>
          <w:tab w:val="left" w:pos="851"/>
        </w:tabs>
        <w:spacing w:after="0"/>
        <w:ind w:left="567"/>
        <w:jc w:val="both"/>
        <w:rPr>
          <w:szCs w:val="28"/>
        </w:rPr>
      </w:pPr>
      <w:r>
        <w:rPr>
          <w:szCs w:val="28"/>
        </w:rPr>
        <w:t>- Все участники будут делать ставки, чтобы получить этот токен.</w:t>
      </w:r>
    </w:p>
    <w:p>
      <w:pPr>
        <w:numPr>
          <w:ilvl w:val="0"/>
          <w:numId w:val="3"/>
        </w:numPr>
        <w:tabs>
          <w:tab w:val="left" w:pos="851"/>
          <w:tab w:val="clear" w:pos="720"/>
        </w:tabs>
        <w:spacing w:after="0"/>
        <w:ind w:left="0" w:firstLine="567"/>
        <w:jc w:val="both"/>
        <w:rPr>
          <w:szCs w:val="28"/>
        </w:rPr>
      </w:pPr>
      <w:r>
        <w:rPr>
          <w:szCs w:val="28"/>
        </w:rPr>
        <w:t xml:space="preserve">Функция </w:t>
      </w:r>
      <w:r>
        <w:rPr>
          <w:bCs/>
          <w:szCs w:val="28"/>
        </w:rPr>
        <w:t>closeAuction</w:t>
      </w:r>
      <w:r>
        <w:rPr>
          <w:szCs w:val="28"/>
        </w:rPr>
        <w:t>:</w:t>
      </w:r>
    </w:p>
    <w:p>
      <w:pPr>
        <w:tabs>
          <w:tab w:val="left" w:pos="851"/>
        </w:tabs>
        <w:spacing w:after="0"/>
        <w:ind w:firstLine="567"/>
        <w:jc w:val="both"/>
        <w:rPr>
          <w:szCs w:val="28"/>
        </w:rPr>
      </w:pPr>
      <w:r>
        <w:rPr>
          <w:szCs w:val="28"/>
        </w:rPr>
        <w:t>- При закрытии аукциона токен будет передан самому высокому предложившему цену.</w:t>
      </w:r>
    </w:p>
    <w:p>
      <w:pPr>
        <w:numPr>
          <w:ilvl w:val="0"/>
          <w:numId w:val="3"/>
        </w:numPr>
        <w:tabs>
          <w:tab w:val="left" w:pos="851"/>
          <w:tab w:val="clear" w:pos="720"/>
        </w:tabs>
        <w:spacing w:after="0"/>
        <w:ind w:left="0" w:firstLine="567"/>
        <w:jc w:val="both"/>
        <w:rPr>
          <w:szCs w:val="28"/>
        </w:rPr>
      </w:pPr>
      <w:r>
        <w:rPr>
          <w:szCs w:val="28"/>
        </w:rPr>
        <w:t xml:space="preserve">Функция </w:t>
      </w:r>
      <w:r>
        <w:rPr>
          <w:bCs/>
          <w:szCs w:val="28"/>
        </w:rPr>
        <w:t>placeBid</w:t>
      </w:r>
      <w:r>
        <w:rPr>
          <w:szCs w:val="28"/>
        </w:rPr>
        <w:t>:</w:t>
      </w:r>
    </w:p>
    <w:p>
      <w:pPr>
        <w:tabs>
          <w:tab w:val="left" w:pos="1134"/>
        </w:tabs>
        <w:spacing w:after="0"/>
        <w:ind w:firstLine="567"/>
        <w:jc w:val="both"/>
        <w:rPr>
          <w:szCs w:val="28"/>
        </w:rPr>
      </w:pPr>
      <w:r>
        <w:rPr>
          <w:szCs w:val="28"/>
        </w:rPr>
        <w:t>- Устанавливает входную плату, которая будет оплачиваться для запуска автоматической задачи.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- Когда новый участник делает ставку, токен (MDT токен) будет передан предыдущему участнику.</w:t>
      </w:r>
    </w:p>
    <w:p>
      <w:pPr>
        <w:spacing w:after="0"/>
        <w:jc w:val="both"/>
        <w:rPr>
          <w:szCs w:val="28"/>
        </w:rPr>
      </w:pPr>
    </w:p>
    <w:p>
      <w:pPr>
        <w:spacing w:after="0"/>
        <w:jc w:val="center"/>
        <w:rPr>
          <w:szCs w:val="28"/>
          <w:lang w:val="en-US"/>
        </w:rPr>
      </w:pPr>
      <w:r>
        <w:rPr>
          <w:lang w:eastAsia="ru-RU"/>
        </w:rPr>
        <w:drawing>
          <wp:inline distT="0" distB="0" distL="0" distR="0">
            <wp:extent cx="5940425" cy="3217545"/>
            <wp:effectExtent l="0" t="0" r="3175" b="133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both"/>
        <w:rPr>
          <w:szCs w:val="28"/>
          <w:lang w:val="en-US"/>
        </w:rPr>
      </w:pPr>
    </w:p>
    <w:p>
      <w:pPr>
        <w:spacing w:after="0"/>
        <w:jc w:val="center"/>
        <w:rPr>
          <w:szCs w:val="28"/>
        </w:rPr>
      </w:pPr>
      <w:r>
        <w:rPr>
          <w:szCs w:val="28"/>
        </w:rPr>
        <w:t xml:space="preserve">Рисунок 15 - </w:t>
      </w:r>
      <w:r>
        <w:rPr>
          <w:szCs w:val="28"/>
          <w:lang w:val="en-US"/>
        </w:rPr>
        <w:t>IDE</w:t>
      </w:r>
      <w:r>
        <w:rPr>
          <w:szCs w:val="28"/>
        </w:rPr>
        <w:t xml:space="preserve"> для разработки смартконтракта</w:t>
      </w:r>
    </w:p>
    <w:p>
      <w:pPr>
        <w:spacing w:after="0"/>
        <w:jc w:val="both"/>
        <w:rPr>
          <w:szCs w:val="28"/>
        </w:rPr>
      </w:pP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 xml:space="preserve">После того как смартконтрат разработан и выгружен в тестовую сеть необходимо реализовать </w:t>
      </w:r>
      <w:r>
        <w:rPr>
          <w:szCs w:val="28"/>
          <w:lang w:val="en-US"/>
        </w:rPr>
        <w:t>NFT</w:t>
      </w:r>
      <w:r>
        <w:rPr>
          <w:szCs w:val="28"/>
        </w:rPr>
        <w:t xml:space="preserve"> </w:t>
      </w:r>
      <w:r>
        <w:rPr>
          <w:szCs w:val="28"/>
          <w:lang w:val="en-US"/>
        </w:rPr>
        <w:t>Metadata</w:t>
      </w:r>
      <w:r>
        <w:rPr>
          <w:szCs w:val="28"/>
        </w:rPr>
        <w:t xml:space="preserve"> </w:t>
      </w:r>
      <w:r>
        <w:rPr>
          <w:szCs w:val="28"/>
          <w:lang w:val="en-US"/>
        </w:rPr>
        <w:t>Opensea</w:t>
      </w:r>
      <w:r>
        <w:rPr>
          <w:szCs w:val="28"/>
        </w:rPr>
        <w:t xml:space="preserve"> </w:t>
      </w:r>
      <w:r>
        <w:rPr>
          <w:szCs w:val="28"/>
          <w:lang w:val="en-US"/>
        </w:rPr>
        <w:t>Standard</w:t>
      </w:r>
      <w:r>
        <w:rPr>
          <w:szCs w:val="28"/>
        </w:rPr>
        <w:t xml:space="preserve">. 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OpenSea, одна из ведущих платформ для торговли NFT, использовала различные стандарты для метаданных NFT. Основным стандартом для метаданных NFT, используемым на OpenSea и многих других платформах, был стандарт ERC-721. Этот стандарт представляет собой широко принятое предложение по улучшению Ethereum (EIP), определяющее общий интерфейс для уникальных токенов (NFT) на блокчейне Ethereum.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Однако OpenSea сам по себе не строго применял определенную структуру или стандарт метаданных. В основном он полагался на метаданные, прикрепленные или указанные в NFT смарт-контрактах. Обычно эти метаданные включают подробности о NFT, такие как его название, описание, изображение, характеристики и иногда внешние ссылки на дополнительный контент.</w:t>
      </w:r>
    </w:p>
    <w:p>
      <w:pPr>
        <w:spacing w:after="0"/>
        <w:ind w:firstLine="567"/>
        <w:jc w:val="both"/>
        <w:rPr>
          <w:szCs w:val="28"/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У разработчиков и создателей была гибкость </w:t>
      </w:r>
      <w:r>
        <w:rPr>
          <w:szCs w:val="28"/>
        </w:rPr>
        <w:t>в проектировании и реализации структуры метаданных для своих коллекций NFT, при условии соблюдения стандарта ERC-721 или других совместимых стандартов для NFT на блокчейне Ethereum. Они могли размещать эти метаданные на децентрализованных хранилищах, таких как IPFS (InterPlanetary File System), и ссылаться на них в контракте токена.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Важно отметить, что стандарты NFT и платформы могут изменяться со временем, и OpenSea или другие рынки могли внести новые функции, рекомендации или поддерживаемые стандарты. На рисунке 1</w:t>
      </w:r>
      <w:r>
        <w:rPr>
          <w:szCs w:val="28"/>
          <w:lang w:val="en-US"/>
        </w:rPr>
        <w:t>6</w:t>
      </w:r>
      <w:r>
        <w:rPr>
          <w:szCs w:val="28"/>
        </w:rPr>
        <w:t xml:space="preserve"> представлен пример </w:t>
      </w:r>
      <w:r>
        <w:rPr>
          <w:szCs w:val="28"/>
          <w:lang w:val="en-US"/>
        </w:rPr>
        <w:t>NFT</w:t>
      </w:r>
      <w:r>
        <w:rPr>
          <w:szCs w:val="28"/>
        </w:rPr>
        <w:t xml:space="preserve"> метадата.</w:t>
      </w:r>
    </w:p>
    <w:p>
      <w:pPr>
        <w:spacing w:after="0"/>
        <w:jc w:val="center"/>
        <w:rPr>
          <w:lang w:eastAsia="ru-RU"/>
        </w:rPr>
      </w:pPr>
    </w:p>
    <w:p>
      <w:pPr>
        <w:spacing w:after="0"/>
        <w:jc w:val="center"/>
        <w:rPr>
          <w:szCs w:val="28"/>
        </w:rPr>
      </w:pPr>
      <w:r>
        <w:rPr>
          <w:lang w:eastAsia="ru-RU"/>
        </w:rPr>
        <w:drawing>
          <wp:inline distT="0" distB="0" distL="0" distR="0">
            <wp:extent cx="4507865" cy="2647315"/>
            <wp:effectExtent l="9525" t="9525" r="24130" b="10160"/>
            <wp:docPr id="11" name="Рисунок 11" descr="https://files.readme.io/8357ffd-nft-meta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https://files.readme.io/8357ffd-nft-metadata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7" t="5762" r="5298" b="7013"/>
                    <a:stretch>
                      <a:fillRect/>
                    </a:stretch>
                  </pic:blipFill>
                  <pic:spPr>
                    <a:xfrm>
                      <a:off x="0" y="0"/>
                      <a:ext cx="4520746" cy="26550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0"/>
        <w:rPr>
          <w:szCs w:val="28"/>
        </w:rPr>
      </w:pPr>
    </w:p>
    <w:p>
      <w:pPr>
        <w:spacing w:after="0"/>
        <w:jc w:val="center"/>
        <w:rPr>
          <w:szCs w:val="28"/>
        </w:rPr>
      </w:pPr>
      <w:r>
        <w:rPr>
          <w:szCs w:val="28"/>
        </w:rPr>
        <w:t xml:space="preserve">Рисунок 16 - </w:t>
      </w:r>
      <w:r>
        <w:rPr>
          <w:szCs w:val="28"/>
          <w:lang w:val="en-US"/>
        </w:rPr>
        <w:t>NFT</w:t>
      </w:r>
      <w:r>
        <w:rPr>
          <w:szCs w:val="28"/>
        </w:rPr>
        <w:t xml:space="preserve"> метадата</w:t>
      </w:r>
    </w:p>
    <w:p>
      <w:pPr>
        <w:spacing w:after="0"/>
        <w:rPr>
          <w:szCs w:val="28"/>
        </w:rPr>
      </w:pP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 xml:space="preserve">Каждый раз, когда открывается задание по проведению аукциона, функция </w:t>
      </w:r>
      <w:r>
        <w:rPr>
          <w:bCs/>
          <w:szCs w:val="28"/>
        </w:rPr>
        <w:t>handleOpen</w:t>
      </w:r>
      <w:r>
        <w:rPr>
          <w:szCs w:val="28"/>
        </w:rPr>
        <w:t xml:space="preserve"> выполняет следующие действия:</w:t>
      </w:r>
    </w:p>
    <w:p>
      <w:pPr>
        <w:numPr>
          <w:ilvl w:val="0"/>
          <w:numId w:val="4"/>
        </w:numPr>
        <w:tabs>
          <w:tab w:val="left" w:pos="851"/>
          <w:tab w:val="clear" w:pos="720"/>
        </w:tabs>
        <w:spacing w:after="0"/>
        <w:ind w:left="0" w:firstLine="567"/>
        <w:jc w:val="both"/>
        <w:rPr>
          <w:szCs w:val="28"/>
        </w:rPr>
      </w:pPr>
      <w:r>
        <w:rPr>
          <w:szCs w:val="28"/>
        </w:rPr>
        <w:t>Загрузка метаданных на IPFS и получение ссылки на IPFS.</w:t>
      </w:r>
    </w:p>
    <w:p>
      <w:pPr>
        <w:numPr>
          <w:ilvl w:val="0"/>
          <w:numId w:val="4"/>
        </w:numPr>
        <w:tabs>
          <w:tab w:val="left" w:pos="851"/>
          <w:tab w:val="clear" w:pos="720"/>
        </w:tabs>
        <w:spacing w:after="0"/>
        <w:ind w:left="0" w:firstLine="567"/>
        <w:jc w:val="both"/>
        <w:rPr>
          <w:szCs w:val="28"/>
        </w:rPr>
      </w:pPr>
      <w:r>
        <w:rPr>
          <w:szCs w:val="28"/>
        </w:rPr>
        <w:t xml:space="preserve">Открытие аукциона с передачей ссылки на IPFS в функцию </w:t>
      </w:r>
      <w:r>
        <w:rPr>
          <w:bCs/>
          <w:szCs w:val="28"/>
        </w:rPr>
        <w:t>openAuction(ipfs)</w:t>
      </w:r>
      <w:r>
        <w:rPr>
          <w:szCs w:val="28"/>
        </w:rPr>
        <w:t xml:space="preserve">. Здесь </w:t>
      </w:r>
      <w:r>
        <w:rPr>
          <w:bCs/>
          <w:szCs w:val="28"/>
        </w:rPr>
        <w:t>ipfs</w:t>
      </w:r>
      <w:r>
        <w:rPr>
          <w:szCs w:val="28"/>
        </w:rPr>
        <w:t xml:space="preserve"> представляет собой ссылку вида 'ipfs://&lt;хэш&gt;'.</w:t>
      </w:r>
    </w:p>
    <w:p>
      <w:pPr>
        <w:numPr>
          <w:ilvl w:val="0"/>
          <w:numId w:val="4"/>
        </w:numPr>
        <w:tabs>
          <w:tab w:val="left" w:pos="851"/>
          <w:tab w:val="clear" w:pos="720"/>
        </w:tabs>
        <w:spacing w:after="0"/>
        <w:ind w:left="0" w:firstLine="567"/>
        <w:jc w:val="both"/>
        <w:rPr>
          <w:szCs w:val="28"/>
        </w:rPr>
      </w:pPr>
      <w:r>
        <w:rPr>
          <w:szCs w:val="28"/>
        </w:rPr>
        <w:t>Для просмотра метаданных NFT можно использовать ссылку 'ipfs.io/ipfs/&lt;хэш&gt;'.</w:t>
      </w:r>
    </w:p>
    <w:p>
      <w:pPr>
        <w:spacing w:after="0"/>
        <w:jc w:val="both"/>
        <w:rPr>
          <w:szCs w:val="28"/>
        </w:rPr>
      </w:pPr>
      <w:r>
        <w:rPr>
          <w:szCs w:val="28"/>
        </w:rPr>
        <w:t>Если наш NFT имеет стейкинговую стоимость, которая представляет собой случайное значение, то идея заключается в следующем: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- Создание NFT.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- Открытие аукциона для получения информации о NFT, в этот момент у вас есть случайное стейкинговое значение.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- Возможно, создание метаданных для этого NFT.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- Публикация только публичных метаданных на IPFS.</w:t>
      </w:r>
    </w:p>
    <w:p>
      <w:pPr>
        <w:spacing w:after="0"/>
        <w:jc w:val="both"/>
        <w:rPr>
          <w:vanish/>
          <w:szCs w:val="28"/>
        </w:rPr>
      </w:pPr>
      <w:r>
        <w:rPr>
          <w:vanish/>
          <w:szCs w:val="28"/>
        </w:rPr>
        <w:t>Начало формы</w:t>
      </w:r>
    </w:p>
    <w:p>
      <w:pPr>
        <w:spacing w:after="0"/>
        <w:jc w:val="both"/>
        <w:rPr>
          <w:szCs w:val="28"/>
        </w:rPr>
      </w:pPr>
    </w:p>
    <w:p>
      <w:pPr>
        <w:spacing w:after="0"/>
        <w:jc w:val="both"/>
        <w:rPr>
          <w:szCs w:val="28"/>
        </w:rPr>
      </w:pP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3.2 Назначение и условия выполнения программы</w:t>
      </w:r>
    </w:p>
    <w:p>
      <w:pPr>
        <w:tabs>
          <w:tab w:val="left" w:pos="3240"/>
        </w:tabs>
        <w:spacing w:after="0"/>
        <w:rPr>
          <w:szCs w:val="28"/>
          <w:lang w:val="kk-KZ"/>
        </w:rPr>
      </w:pPr>
    </w:p>
    <w:p>
      <w:pPr>
        <w:tabs>
          <w:tab w:val="left" w:pos="3240"/>
        </w:tabs>
        <w:spacing w:after="0"/>
        <w:rPr>
          <w:szCs w:val="28"/>
        </w:rPr>
      </w:pP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  <w:lang w:val="kk-KZ"/>
        </w:rPr>
        <w:t>На главном экране на рисунке 17 пользователя встречает минималистичный и интуитивно понятный интерфейс, главной задачей которого является обеспечение быстрого и безопасного подключения кошелька MetaMask. Пользователям предлагается нажать на кнопку «Подключить кошелек», чтобы начать работу с аукционом. Этот процесс включает в себя автоматическое определение наличия установленного расширения MetaMask в браузере пользователя и запрос на доступ к информации о счетах. В случае отсутствия расширения пользователю предлагаются инструкции по его установке. Подключение кошелька необходимо для дальнейших операций с аукционными лотами, так как все транзакции будут проводиться через блокчейн.</w:t>
      </w:r>
    </w:p>
    <w:p>
      <w:pPr>
        <w:tabs>
          <w:tab w:val="left" w:pos="3240"/>
        </w:tabs>
        <w:spacing w:after="0"/>
        <w:rPr>
          <w:szCs w:val="28"/>
          <w:lang w:val="kk-KZ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  <w:lang w:eastAsia="ru-RU"/>
        </w:rPr>
        <w:drawing>
          <wp:inline distT="0" distB="0" distL="0" distR="0">
            <wp:extent cx="5445125" cy="3040380"/>
            <wp:effectExtent l="9525" t="9525" r="1651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5492" cy="304643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</w:rPr>
        <w:t>Рисунок 17 - Главная страница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После того как пользователь нажимает на кнопку подключения кошелька, происходит автоматическая проверка подлинности пользователя посредством блокчейн-технологий. На рисунке 18 MetaMask запросит у пользователя разрешение на авторизацию в системе, гарантируя, что вход осуществляется владельцем кошелька. Этот экран обеспечивает дополнительный уровень безопасности, поскольку исключает возможность неавторизованного доступа к счету пользователя. Весь процесс проходит в ненавязчивом и защищенном интерфейсе, сохраняя приватность и безопасность данных пользователя.</w:t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  <w:lang w:eastAsia="ru-RU"/>
        </w:rPr>
        <w:drawing>
          <wp:inline distT="0" distB="0" distL="0" distR="0">
            <wp:extent cx="6012180" cy="3380740"/>
            <wp:effectExtent l="9525" t="9525" r="13335" b="2349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3646" cy="33931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</w:rPr>
        <w:t xml:space="preserve">Рисунок 18 - Авторизация в системе через кошелек </w:t>
      </w:r>
      <w:r>
        <w:rPr>
          <w:szCs w:val="28"/>
          <w:lang w:val="en-US"/>
        </w:rPr>
        <w:t>MetaMask</w:t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На рисунке 19 показан экран, который появляется после успешного подключения MetaMask. Пользователю необходимо ввести пароль для разблокировки доступа к своим активам, если кошелек был ранее заблокирован. После ввода пароля пользователь может выбрать один из своих счетов, с которого будут проводиться транзакции. Этот шаг важен, так как пользователи часто имеют несколько счетов в MetaMask для различных целей. Выбор счета определяет, откуда будут списываться средства при покупке лотов и куда поступят средства в случае продажи.</w:t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  <w:lang w:eastAsia="ru-RU"/>
        </w:rPr>
        <w:drawing>
          <wp:inline distT="0" distB="0" distL="0" distR="0">
            <wp:extent cx="3606165" cy="3074670"/>
            <wp:effectExtent l="9525" t="9525" r="11430" b="9525"/>
            <wp:docPr id="18" name="Рисунок 18" descr="C:\Users\Tasen\Downloads\im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C:\Users\Tasen\Downloads\image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0334" cy="31212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</w:rPr>
        <w:t>Рисунок 19 - Ввод пароля от кошелька и выбор счет для авторизации</w:t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567"/>
        </w:tabs>
        <w:spacing w:after="0"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>На рисунке 20 показан экран с лотами, где пользователи видят список доступных аукционов. Каждый лот сопровождается фотографией, описанием, начальной ценой и текущей ставкой. Пользователи могут просматривать детали каждого лота, делая клик на интересующий объект. Это позволяет узнать больше информации о лоте, включая историю ставок и время до окончания аукциона. Дизайн страницы удобен для навигации, а информация о лотах представлена четко и ясно, что помогает принимать обоснованные решения о участии в ставках.</w:t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  <w:lang w:eastAsia="ru-RU"/>
        </w:rPr>
        <w:drawing>
          <wp:inline distT="0" distB="0" distL="0" distR="0">
            <wp:extent cx="5469255" cy="3072765"/>
            <wp:effectExtent l="9525" t="9525" r="22860" b="1143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36470" cy="31102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</w:rPr>
        <w:t>Рисунок 20 - Лоты</w:t>
      </w: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Пользователь может активно участвовать в аукционе. На рисунке 21 после выбора лота пользователь вводит сумму своей ставки в специальное поле. При подтверждении ставки, MetaMask автоматически открывается, предлагая пользователю подтвердить транзакцию, включая комиссию за проведение операции в блокчейне. Это обеспечивает прозрачность и контроль за финансовыми операциями, что критически важно в контексте децентрализованных финансовых технологий.</w:t>
      </w:r>
    </w:p>
    <w:p>
      <w:pPr>
        <w:tabs>
          <w:tab w:val="left" w:pos="3240"/>
        </w:tabs>
        <w:spacing w:after="0"/>
        <w:jc w:val="center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  <w:lang w:eastAsia="ru-RU"/>
        </w:rPr>
        <w:drawing>
          <wp:inline distT="0" distB="0" distL="0" distR="0">
            <wp:extent cx="5961380" cy="3348990"/>
            <wp:effectExtent l="9525" t="9525" r="1841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95420" cy="33680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tabs>
          <w:tab w:val="left" w:pos="3240"/>
        </w:tabs>
        <w:spacing w:after="0"/>
        <w:jc w:val="center"/>
        <w:rPr>
          <w:szCs w:val="28"/>
        </w:rPr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</w:rPr>
        <w:t xml:space="preserve">Рисунок 21 - Выставление собственной ставки на лот через кошелек </w:t>
      </w:r>
      <w:r>
        <w:rPr>
          <w:szCs w:val="28"/>
          <w:lang w:val="en-US"/>
        </w:rPr>
        <w:t>MetaMask</w:t>
      </w:r>
    </w:p>
    <w:p>
      <w:pPr>
        <w:tabs>
          <w:tab w:val="left" w:pos="3240"/>
        </w:tabs>
        <w:spacing w:after="0"/>
        <w:rPr>
          <w:szCs w:val="28"/>
        </w:rPr>
      </w:pPr>
    </w:p>
    <w:p>
      <w:pPr>
        <w:tabs>
          <w:tab w:val="left" w:pos="567"/>
        </w:tabs>
        <w:spacing w:after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>
      <w:pPr>
        <w:tabs>
          <w:tab w:val="left" w:pos="567"/>
        </w:tabs>
        <w:spacing w:after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3.3 Обработка и анализ полученных результатов</w:t>
      </w:r>
    </w:p>
    <w:p>
      <w:pPr>
        <w:tabs>
          <w:tab w:val="left" w:pos="567"/>
        </w:tabs>
        <w:spacing w:after="0"/>
        <w:rPr>
          <w:szCs w:val="28"/>
          <w:lang w:val="kk-KZ"/>
        </w:rPr>
      </w:pPr>
    </w:p>
    <w:p>
      <w:pPr>
        <w:tabs>
          <w:tab w:val="left" w:pos="3240"/>
        </w:tabs>
        <w:spacing w:after="0"/>
        <w:rPr>
          <w:szCs w:val="28"/>
        </w:rPr>
      </w:pPr>
    </w:p>
    <w:p>
      <w:pPr>
        <w:spacing w:after="0"/>
        <w:ind w:firstLine="567"/>
        <w:jc w:val="both"/>
        <w:rPr>
          <w:szCs w:val="28"/>
        </w:rPr>
      </w:pPr>
      <w:r>
        <w:rPr>
          <w:szCs w:val="28"/>
        </w:rPr>
        <w:t>После того как ставка сделана, и транзакция отправлена в сеть, пользователь согласно рисунку 22 может перейти на сканер сети Polygon, чтобы отследить статус своей транзакции. Этот инструмент важен для обеспечения доверия и прозрачности, так как позволяет каждому пользователю убедиться в успешности или неуспешности проведения транзакции. Пользователи могут видеть все детали транзакции, включая номер блока, в котором она была обработана, и статус подтверждения.</w:t>
      </w:r>
    </w:p>
    <w:p>
      <w:pPr>
        <w:spacing w:after="0"/>
        <w:jc w:val="both"/>
        <w:rPr>
          <w:szCs w:val="28"/>
        </w:rPr>
      </w:pPr>
    </w:p>
    <w:p>
      <w:pPr>
        <w:tabs>
          <w:tab w:val="left" w:pos="3240"/>
        </w:tabs>
        <w:spacing w:after="0"/>
        <w:jc w:val="center"/>
      </w:pPr>
      <w:r>
        <w:rPr>
          <w:bdr w:val="single" w:color="000000" w:sz="6" w:space="0"/>
          <w:lang w:eastAsia="ru-RU"/>
        </w:rPr>
        <w:drawing>
          <wp:inline distT="0" distB="0" distL="0" distR="0">
            <wp:extent cx="5602605" cy="3136265"/>
            <wp:effectExtent l="0" t="0" r="571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28919" cy="3151326"/>
                    </a:xfrm>
                    <a:prstGeom prst="rect">
                      <a:avLst/>
                    </a:prstGeom>
                    <a:noFill/>
                    <a:ln w="9525" cmpd="sng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tabs>
          <w:tab w:val="left" w:pos="3240"/>
        </w:tabs>
        <w:spacing w:after="0"/>
      </w:pPr>
    </w:p>
    <w:p>
      <w:pPr>
        <w:tabs>
          <w:tab w:val="left" w:pos="3240"/>
        </w:tabs>
        <w:spacing w:after="0"/>
        <w:jc w:val="center"/>
        <w:rPr>
          <w:szCs w:val="28"/>
        </w:rPr>
      </w:pPr>
      <w:r>
        <w:rPr>
          <w:szCs w:val="28"/>
          <w:lang w:val="kk-KZ"/>
        </w:rPr>
        <w:t xml:space="preserve">Рисунок </w:t>
      </w:r>
      <w:r>
        <w:rPr>
          <w:szCs w:val="28"/>
        </w:rPr>
        <w:t>22 -</w:t>
      </w:r>
      <w:r>
        <w:rPr>
          <w:szCs w:val="28"/>
          <w:lang w:val="kk-KZ"/>
        </w:rPr>
        <w:t xml:space="preserve"> </w:t>
      </w:r>
      <w:r>
        <w:rPr>
          <w:szCs w:val="28"/>
        </w:rPr>
        <w:t xml:space="preserve">Проверка валидности транзакции в сканере сети </w:t>
      </w:r>
      <w:r>
        <w:rPr>
          <w:szCs w:val="28"/>
          <w:lang w:val="en-US"/>
        </w:rPr>
        <w:t>Polygon</w:t>
      </w:r>
    </w:p>
    <w:p>
      <w:pPr>
        <w:spacing w:after="0"/>
        <w:jc w:val="both"/>
        <w:rPr>
          <w:szCs w:val="28"/>
        </w:rPr>
      </w:pPr>
    </w:p>
    <w:p>
      <w:pPr>
        <w:tabs>
          <w:tab w:val="left" w:pos="567"/>
        </w:tabs>
        <w:spacing w:after="0"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>Проект аукциона на блокчейне, использующий Solidity и React для создания децентрализованной платформы, представляет собой значительный шаг в сторону инноваций в аукционной индустрии. Блокчейн-технология обеспечивает повышенную прозрачность и безопасность, что особенно ценно в контексте проведения аукционов, где верификация подлинности и защита от мошенничества являются ключевыми аспектами.</w:t>
      </w:r>
    </w:p>
    <w:p>
      <w:pPr>
        <w:tabs>
          <w:tab w:val="left" w:pos="567"/>
        </w:tabs>
        <w:spacing w:after="0"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>Один из основных экономических аргументов в пользу использования блокчейна заключается в снижении операционных расходов. Традиционные аукционы требуют значительных затрат на обслуживание и персонал, необходимого для управления аукционными процессами, а также стоимости связанные с физическим местом проведения аукционов. В децентрализованном блокчейн-аукционе эти расходы уменьшаются за счет автоматизации многих процессов и возможности проведения аукционов онлайн.</w:t>
      </w:r>
    </w:p>
    <w:p>
      <w:pPr>
        <w:tabs>
          <w:tab w:val="left" w:pos="567"/>
        </w:tabs>
        <w:spacing w:after="0"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>Блокчейн позволяет любому пользователю с интернет-подключением участвовать в аукционе, что значительно расширяет рынок и увеличивает потенциальное число участников. Это не только способствует росту объема продаж, но и повышает конкуренцию среди покупателей, потенциально увеличивая конечные цены лотов.</w:t>
      </w:r>
    </w:p>
    <w:p>
      <w:pPr>
        <w:tabs>
          <w:tab w:val="left" w:pos="567"/>
        </w:tabs>
        <w:spacing w:after="0"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>Блокчейн исключает необходимость в третьих лицах, таких как банки или платежные системы, тем самым снижая риски, связанные с задержками платежей, отменой транзакций или мошенничеством. Автоматическое исполнение контрактов на блокчейне (smart contracts) обеспечивает, что условия сделки будут строго соблюдены, что повышает доверие и удовлетворенность пользователей.</w:t>
      </w:r>
    </w:p>
    <w:p>
      <w:pPr>
        <w:tabs>
          <w:tab w:val="left" w:pos="567"/>
        </w:tabs>
        <w:spacing w:after="0"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>Проекты, основанные на блокчейн-технологиях, привлекают значительное внимание инвесторов, заинтересованных в финансировании инновационных и перспективных технологий. Инвестиции в такие проекты не только способствуют их развитию, но и укрепляют общую экономическую основу технологии блокчейн.</w:t>
      </w:r>
    </w:p>
    <w:p>
      <w:pPr>
        <w:tabs>
          <w:tab w:val="left" w:pos="567"/>
        </w:tabs>
        <w:spacing w:after="0"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>Разработка децентрализованного аукциона на базе блокчейна представляет собой экономически оправданный шаг, способный привести к значительному улучшению операционной эффективности, снижению затрат и увеличению доходов за счет расширения рынка и уменьшения рисков. Это делает проект не только технологически привлекательным, но и экономически выгодным как для организаторов аукционов, так и для их участников.</w:t>
      </w:r>
    </w:p>
    <w:p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984ABD"/>
    <w:multiLevelType w:val="multilevel"/>
    <w:tmpl w:val="0C984ABD"/>
    <w:lvl w:ilvl="0" w:tentative="0">
      <w:start w:val="1"/>
      <w:numFmt w:val="decimal"/>
      <w:lvlText w:val="%1)"/>
      <w:lvlJc w:val="left"/>
      <w:pPr>
        <w:ind w:left="1287" w:hanging="360"/>
      </w:pPr>
    </w:lvl>
    <w:lvl w:ilvl="1" w:tentative="0">
      <w:start w:val="1"/>
      <w:numFmt w:val="lowerLetter"/>
      <w:lvlText w:val="%2."/>
      <w:lvlJc w:val="left"/>
      <w:pPr>
        <w:ind w:left="2007" w:hanging="360"/>
      </w:pPr>
    </w:lvl>
    <w:lvl w:ilvl="2" w:tentative="0">
      <w:start w:val="1"/>
      <w:numFmt w:val="lowerRoman"/>
      <w:lvlText w:val="%3."/>
      <w:lvlJc w:val="right"/>
      <w:pPr>
        <w:ind w:left="2727" w:hanging="180"/>
      </w:pPr>
    </w:lvl>
    <w:lvl w:ilvl="3" w:tentative="0">
      <w:start w:val="1"/>
      <w:numFmt w:val="decimal"/>
      <w:lvlText w:val="%4."/>
      <w:lvlJc w:val="left"/>
      <w:pPr>
        <w:ind w:left="3447" w:hanging="360"/>
      </w:pPr>
    </w:lvl>
    <w:lvl w:ilvl="4" w:tentative="0">
      <w:start w:val="1"/>
      <w:numFmt w:val="lowerLetter"/>
      <w:lvlText w:val="%5."/>
      <w:lvlJc w:val="left"/>
      <w:pPr>
        <w:ind w:left="4167" w:hanging="360"/>
      </w:pPr>
    </w:lvl>
    <w:lvl w:ilvl="5" w:tentative="0">
      <w:start w:val="1"/>
      <w:numFmt w:val="lowerRoman"/>
      <w:lvlText w:val="%6."/>
      <w:lvlJc w:val="right"/>
      <w:pPr>
        <w:ind w:left="4887" w:hanging="180"/>
      </w:pPr>
    </w:lvl>
    <w:lvl w:ilvl="6" w:tentative="0">
      <w:start w:val="1"/>
      <w:numFmt w:val="decimal"/>
      <w:lvlText w:val="%7."/>
      <w:lvlJc w:val="left"/>
      <w:pPr>
        <w:ind w:left="5607" w:hanging="360"/>
      </w:pPr>
    </w:lvl>
    <w:lvl w:ilvl="7" w:tentative="0">
      <w:start w:val="1"/>
      <w:numFmt w:val="lowerLetter"/>
      <w:lvlText w:val="%8."/>
      <w:lvlJc w:val="left"/>
      <w:pPr>
        <w:ind w:left="6327" w:hanging="360"/>
      </w:pPr>
    </w:lvl>
    <w:lvl w:ilvl="8" w:tentative="0">
      <w:start w:val="1"/>
      <w:numFmt w:val="lowerRoman"/>
      <w:lvlText w:val="%9."/>
      <w:lvlJc w:val="right"/>
      <w:pPr>
        <w:ind w:left="7047" w:hanging="180"/>
      </w:pPr>
    </w:lvl>
  </w:abstractNum>
  <w:abstractNum w:abstractNumId="1">
    <w:nsid w:val="3C387DAB"/>
    <w:multiLevelType w:val="multilevel"/>
    <w:tmpl w:val="3C387DAB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  <w14:textFill>
          <w14:solidFill>
            <w14:schemeClr w14:val="tx1"/>
          </w14:solidFill>
        </w14:textFill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F64324F"/>
    <w:multiLevelType w:val="multilevel"/>
    <w:tmpl w:val="3F64324F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79B855B9"/>
    <w:multiLevelType w:val="multilevel"/>
    <w:tmpl w:val="79B855B9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7DF16D"/>
    <w:rsid w:val="647DF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40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spacing w:after="0"/>
      <w:ind w:left="720"/>
      <w:contextualSpacing/>
    </w:pPr>
    <w:rPr>
      <w:rFonts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7/relationships/hdphoto" Target="media/image4.wdp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2025-12-17T15:54:00Z</dcterms:created>
  <dc:creator>leonid</dc:creator>
  <cp:lastModifiedBy>leonid</cp:lastModifiedBy>
  <dcterms:modified xsi:type="dcterms:W3CDTF">2025-12-17T15:55:16Z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