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Карагандинский Университет  Казпотребсоюза</w:t>
      </w:r>
    </w:p>
    <w:p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 w:eastAsia="ru-RU"/>
        </w:rPr>
      </w:pPr>
    </w:p>
    <w:p>
      <w:pPr>
        <w:shd w:val="clear" w:color="auto" w:fill="FFFFFF"/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>
      <w:pPr>
        <w:shd w:val="clear" w:color="auto" w:fill="FFFFFF"/>
        <w:spacing w:after="0" w:line="240" w:lineRule="auto"/>
        <w:jc w:val="right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>
      <w:pPr>
        <w:shd w:val="clear" w:color="auto" w:fill="FFFFFF"/>
        <w:spacing w:after="0" w:line="240" w:lineRule="auto"/>
        <w:jc w:val="right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ФФЛЦТ</w:t>
      </w:r>
    </w:p>
    <w:p>
      <w:pPr>
        <w:shd w:val="clear" w:color="auto" w:fill="FFFFFF"/>
        <w:spacing w:after="0" w:line="240" w:lineRule="auto"/>
        <w:jc w:val="right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Кафедра ЦИ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ITA</w:t>
      </w:r>
    </w:p>
    <w:p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 w:eastAsia="ru-RU"/>
        </w:rPr>
      </w:pPr>
    </w:p>
    <w:p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sz w:val="36"/>
          <w:szCs w:val="20"/>
          <w:lang w:val="ru-RU" w:eastAsia="ru-RU" w:bidi="ml-IN"/>
        </w:rPr>
      </w:pPr>
      <w:r>
        <w:rPr>
          <w:rFonts w:hint="default" w:ascii="Times New Roman" w:hAnsi="Times New Roman" w:eastAsia="Times New Roman" w:cs="Times New Roman"/>
          <w:sz w:val="36"/>
          <w:szCs w:val="20"/>
          <w:lang w:val="ru-RU" w:eastAsia="ru-RU" w:bidi="ml-IN"/>
        </w:rPr>
        <w:t>КУРСОВОЙ ПРОЕКТ</w:t>
      </w:r>
    </w:p>
    <w:p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sz w:val="36"/>
          <w:szCs w:val="20"/>
          <w:lang w:val="ru-RU" w:eastAsia="ru-RU" w:bidi="ml-IN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</w:pPr>
      <w:r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  <w:t>по дисциплине «Проектирование информационных систем»</w:t>
      </w:r>
    </w:p>
    <w:p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</w:pPr>
      <w:r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  <w:t>Тема: «Проектирование информационной</w:t>
      </w:r>
      <w:r>
        <w:rPr>
          <w:rFonts w:hint="default" w:ascii="Times New Roman" w:hAnsi="Times New Roman" w:eastAsia="Times New Roman" w:cs="Times New Roman"/>
          <w:sz w:val="28"/>
          <w:szCs w:val="20"/>
          <w:lang w:val="en-US" w:eastAsia="ru-RU" w:bidi="ml-IN"/>
        </w:rPr>
        <w:t xml:space="preserve"> системы по учету договоров и контроля за их исполнением</w:t>
      </w:r>
      <w:r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  <w:t>»</w:t>
      </w:r>
    </w:p>
    <w:p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</w:pPr>
    </w:p>
    <w:p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</w:pPr>
    </w:p>
    <w:p>
      <w:pPr>
        <w:spacing w:after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</w:pPr>
      <w:r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  <w:t xml:space="preserve">Выполнил студент группы </w:t>
      </w:r>
      <w:r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  <w:tab/>
      </w:r>
    </w:p>
    <w:p>
      <w:pPr>
        <w:spacing w:after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</w:pPr>
      <w:r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  <w:t>Исламов Е.Е.</w:t>
      </w:r>
    </w:p>
    <w:p>
      <w:pPr>
        <w:spacing w:after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</w:pPr>
      <w:r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  <w:tab/>
      </w:r>
      <w:r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  <w:t xml:space="preserve">(подпись)        (фамилия, инициалы)                                                                </w:t>
      </w:r>
    </w:p>
    <w:p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</w:pPr>
    </w:p>
    <w:p>
      <w:pPr>
        <w:spacing w:after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</w:pPr>
      <w:r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  <w:t>Руководитель:  маг., ст. преп.</w:t>
      </w:r>
    </w:p>
    <w:p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</w:pPr>
      <w:r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  <w:t xml:space="preserve">                                                                                                    (должность)          </w:t>
      </w:r>
    </w:p>
    <w:p>
      <w:pPr>
        <w:spacing w:after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</w:pPr>
      <w:r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  <w:t>_________                            Черногоров В.А.</w:t>
      </w:r>
    </w:p>
    <w:p>
      <w:pPr>
        <w:spacing w:after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</w:pPr>
      <w:r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  <w:tab/>
      </w:r>
      <w:r>
        <w:rPr>
          <w:rFonts w:hint="default" w:ascii="Times New Roman" w:hAnsi="Times New Roman" w:eastAsia="Times New Roman" w:cs="Times New Roman"/>
          <w:sz w:val="28"/>
          <w:szCs w:val="20"/>
          <w:lang w:val="ru-RU" w:eastAsia="ru-RU" w:bidi="ml-IN"/>
        </w:rPr>
        <w:t>(подпись)        (фамилия, инициалы)</w:t>
      </w:r>
    </w:p>
    <w:p>
      <w:pPr>
        <w:shd w:val="clear" w:color="auto" w:fill="FFFFFF"/>
        <w:spacing w:after="0" w:line="240" w:lineRule="auto"/>
        <w:ind w:left="5760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 w:eastAsia="ru-RU"/>
        </w:rPr>
      </w:pPr>
    </w:p>
    <w:p>
      <w:pPr>
        <w:shd w:val="clear" w:color="auto" w:fill="FFFFFF"/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>
      <w:pPr>
        <w:shd w:val="clear" w:color="auto" w:fill="FFFFFF"/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>
      <w:pPr>
        <w:shd w:val="clear" w:color="auto" w:fill="FFFFFF"/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>
      <w:pPr>
        <w:shd w:val="clear" w:color="auto" w:fill="FFFFFF"/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>
      <w:pPr>
        <w:shd w:val="clear" w:color="auto" w:fill="FFFFFF"/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>
      <w:pPr>
        <w:shd w:val="clear" w:color="auto" w:fill="FFFFFF"/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>
      <w:pPr>
        <w:shd w:val="clear" w:color="auto" w:fill="FFFFFF"/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>
      <w:pPr>
        <w:shd w:val="clear" w:color="auto" w:fill="FFFFFF"/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</w:p>
    <w:p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lang w:val="ru-RU" w:eastAsia="ru-RU"/>
        </w:rPr>
        <w:t>КАРАГАНДА 2025</w:t>
      </w:r>
    </w:p>
    <w:p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br w:type="page"/>
      </w:r>
    </w:p>
    <w:p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СОДЕРЖАНИЕ</w:t>
      </w:r>
    </w:p>
    <w:p>
      <w:pPr>
        <w:spacing w:after="0" w:line="240" w:lineRule="auto"/>
        <w:ind w:firstLine="567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tbl>
      <w:tblPr>
        <w:tblStyle w:val="4"/>
        <w:tblW w:w="1017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2"/>
        <w:gridCol w:w="169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8482" w:type="dxa"/>
          </w:tcPr>
          <w:p>
            <w:pPr>
              <w:shd w:val="clear" w:color="auto" w:fill="FFFFFF"/>
              <w:spacing w:after="100" w:afterAutospacing="1" w:line="240" w:lineRule="auto"/>
              <w:jc w:val="both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ВВЕДЕНИЕ </w:t>
            </w:r>
          </w:p>
          <w:p>
            <w:pPr>
              <w:spacing w:before="100" w:beforeAutospacing="1" w:after="100" w:afterAutospacing="1" w:line="240" w:lineRule="auto"/>
              <w:jc w:val="both"/>
              <w:rPr>
                <w:rFonts w:hint="default" w:ascii="Times New Roman" w:hAnsi="Times New Roman" w:eastAsia="Times New Roman" w:cs="Times New Roman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1 ПРЕДПРОЕКТНАЯ ЧАСТЬ</w:t>
            </w:r>
          </w:p>
          <w:p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1.1 Технико-экономическое обоснование</w:t>
            </w:r>
          </w:p>
          <w:p>
            <w:pPr>
              <w:spacing w:before="100" w:beforeAutospacing="1" w:after="100" w:afterAutospacing="1" w:line="24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1.2 Техническое задание</w:t>
            </w:r>
          </w:p>
          <w:p>
            <w:pPr>
              <w:spacing w:before="100" w:beforeAutospacing="1" w:after="100" w:afterAutospacing="1" w:line="24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1.3 Требования к программе</w:t>
            </w:r>
          </w:p>
          <w:p>
            <w:pPr>
              <w:spacing w:before="100" w:beforeAutospacing="1" w:after="100" w:afterAutospacing="1" w:line="24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 xml:space="preserve">2 ПРОЕКТНАЯ ЧАСТЬ </w:t>
            </w:r>
          </w:p>
          <w:p>
            <w:pPr>
              <w:spacing w:before="100" w:beforeAutospacing="1" w:after="100" w:afterAutospacing="1" w:line="24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2.1 Технический проект</w:t>
            </w:r>
          </w:p>
          <w:p>
            <w:pPr>
              <w:spacing w:before="100" w:beforeAutospacing="1" w:after="100" w:afterAutospacing="1" w:line="24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2.2 Рабочий проект</w:t>
            </w:r>
          </w:p>
          <w:p>
            <w:pPr>
              <w:spacing w:before="100" w:beforeAutospacing="1" w:after="100" w:afterAutospacing="1" w:line="24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3 ВВОД В ЭКСПЛУАТАЦИЮ</w:t>
            </w:r>
          </w:p>
          <w:p>
            <w:pPr>
              <w:spacing w:before="100" w:beforeAutospacing="1" w:after="100" w:afterAutospacing="1" w:line="24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3.1 Программная реализация</w:t>
            </w:r>
          </w:p>
          <w:p>
            <w:pPr>
              <w:spacing w:before="100" w:beforeAutospacing="1" w:after="100" w:afterAutospacing="1" w:line="24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4 ЭКОНОМИЧЕСКАЯ  ЭФФЕКТИВНОСТЬ</w:t>
            </w:r>
          </w:p>
          <w:p>
            <w:pPr>
              <w:spacing w:before="100" w:beforeAutospacing="1" w:after="100" w:afterAutospacing="1" w:line="24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4.1 Экономический расчёт</w:t>
            </w:r>
          </w:p>
          <w:p>
            <w:pPr>
              <w:spacing w:after="100" w:afterAutospacing="1" w:line="24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ЗАКЛЮЧЕНИЕ</w:t>
            </w:r>
          </w:p>
          <w:p>
            <w:pPr>
              <w:spacing w:after="100" w:afterAutospacing="1" w:line="24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 xml:space="preserve">СПИСОК ИСПОЛЬЗОВАННОЙ ЛИТЕРАТУРЫ </w:t>
            </w:r>
          </w:p>
          <w:p>
            <w:pPr>
              <w:spacing w:after="100" w:afterAutospacing="1" w:line="24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ПРИЛОЖЕНИЯ А</w:t>
            </w:r>
          </w:p>
          <w:p>
            <w:pPr>
              <w:spacing w:after="100" w:afterAutospacing="1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ru-RU" w:eastAsia="ru-RU"/>
              </w:rPr>
            </w:pP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ru-RU" w:eastAsia="ru-RU"/>
              </w:rPr>
              <w:t>3</w:t>
            </w: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18"/>
                <w:szCs w:val="18"/>
                <w:lang w:val="ru-RU" w:eastAsia="ru-RU"/>
              </w:rPr>
            </w:pP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ru-RU" w:eastAsia="ru-RU"/>
              </w:rPr>
              <w:t>5</w:t>
            </w: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ru-RU" w:eastAsia="ru-RU"/>
              </w:rPr>
            </w:pP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ru-RU" w:eastAsia="ru-RU"/>
              </w:rPr>
              <w:t>5</w:t>
            </w: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lang w:val="ru-RU" w:eastAsia="ru-RU"/>
              </w:rPr>
            </w:pP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10</w:t>
            </w: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11</w:t>
            </w: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2"/>
                <w:szCs w:val="22"/>
                <w:lang w:val="ru-RU" w:eastAsia="ru-RU"/>
              </w:rPr>
            </w:pP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15</w:t>
            </w: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2"/>
                <w:szCs w:val="22"/>
                <w:lang w:val="ru-RU" w:eastAsia="ru-RU"/>
              </w:rPr>
            </w:pP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15</w:t>
            </w: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25</w:t>
            </w: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lang w:val="ru-RU" w:eastAsia="ru-RU"/>
              </w:rPr>
            </w:pP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28</w:t>
            </w: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ru-RU" w:eastAsia="ru-RU"/>
              </w:rPr>
            </w:pP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28</w:t>
            </w: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2"/>
                <w:szCs w:val="22"/>
                <w:lang w:val="ru-RU" w:eastAsia="ru-RU"/>
              </w:rPr>
            </w:pP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34</w:t>
            </w: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lang w:val="ru-RU" w:eastAsia="ru-RU"/>
              </w:rPr>
            </w:pP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34</w:t>
            </w: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lang w:eastAsia="ru-RU"/>
              </w:rPr>
            </w:pP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ru-RU" w:eastAsia="ru-RU"/>
              </w:rPr>
              <w:t>39</w:t>
            </w: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lang w:eastAsia="ru-RU"/>
              </w:rPr>
            </w:pP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ru-RU" w:eastAsia="ru-RU"/>
              </w:rPr>
              <w:t>0</w:t>
            </w: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lang w:eastAsia="ru-RU"/>
              </w:rPr>
            </w:pP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</w:tr>
    </w:tbl>
    <w:p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2727960</wp:posOffset>
                </wp:positionH>
                <wp:positionV relativeFrom="paragraph">
                  <wp:posOffset>2155190</wp:posOffset>
                </wp:positionV>
                <wp:extent cx="266700" cy="228600"/>
                <wp:effectExtent l="0" t="0" r="19050" b="19050"/>
                <wp:wrapNone/>
                <wp:docPr id="1418892375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286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1" o:spid="_x0000_s1026" o:spt="3" type="#_x0000_t3" style="position:absolute;left:0pt;margin-left:214.8pt;margin-top:169.7pt;height:18pt;width:21pt;z-index:251659264;v-text-anchor:middle;mso-width-relative:page;mso-height-relative:page;" fillcolor="#FFFFFF [3201]" filled="t" stroked="t" coordsize="21600,21600" o:gfxdata="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">
                <v:fill on="t" focussize="0,0"/>
                <v:stroke weight="1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br w:type="page"/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ВВЕДЕНИЕ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contextualSpacing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условиях развития рыночных отношений и повышения динамики деловых операций, эффективное управление договорной базой становится критически важным для любого предпринимательского субъекта. Для юридических и физических лиц, ведущих активную коммерческую деятельность, упущение сроков исполнения договорных обязательств может привести к штрафам, судебным разбирательствам и потере доверия партнёров. Существующие подходы к управлению договорами в малых и средних организациях часто базируются на ручном отслеживании в электронных таблицах Microsoft Excel, что неизбежно ведёт к ошибкам, упущению критических дат и невозможности оперативного анализа портфеля договоров.</w:t>
      </w:r>
    </w:p>
    <w:p>
      <w:pPr>
        <w:spacing w:after="0" w:line="240" w:lineRule="auto"/>
        <w:ind w:firstLine="567"/>
        <w:contextualSpacing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Актуальность темы определяется острой необходимостью в централизованной информационной системе, которая обеспечивала бы полный контроль над договорной базой организации, автоматизировала отслеживание сроков исполнения, уведомляла о предстоящих событиях (пролонгация, платёж, поставка) и предоставляла аналитику по состоянию договорных обязательств. Ключевые проблемы, которые решает такая система: разрозненность информации о договорах в разных носителях; невозможность оперативно получить информацию о статусе исполнения; риск упущения сроков платежей и продления договоров; отсутствие аудита по истории изменений договоров; сложность формирования отчётов для руководства и контрагентов.</w:t>
      </w:r>
    </w:p>
    <w:p>
      <w:pPr>
        <w:spacing w:after="0" w:line="240" w:lineRule="auto"/>
        <w:ind w:firstLine="567"/>
        <w:contextualSpacing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Целью данного курсового проекта является проектирование комплексной информационной системы управления договорами, которая интегрирует функции учёта и регистрации договоров, отслеживания сроков исполнения, контроля платежей и формирования аналитических отчётов с автоматическими уведомлениями о предстоящих событиях на основе современных технологий React и MySQL.</w:t>
      </w:r>
    </w:p>
    <w:p>
      <w:pPr>
        <w:spacing w:after="0" w:line="240" w:lineRule="auto"/>
        <w:ind w:firstLine="567"/>
        <w:contextualSpacing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достижения поставленной цели необходимо решить следующие задачи:</w:t>
      </w:r>
    </w:p>
    <w:p>
      <w:pPr>
        <w:spacing w:after="0" w:line="240" w:lineRule="auto"/>
        <w:ind w:firstLine="567"/>
        <w:contextualSpacing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Проанализировать бизнес-процессы управления договорами в типовой коммерческой организации.</w:t>
      </w:r>
    </w:p>
    <w:p>
      <w:pPr>
        <w:spacing w:after="0" w:line="240" w:lineRule="auto"/>
        <w:ind w:firstLine="567"/>
        <w:contextualSpacing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Выявить функциональные недостатки ручного управления договорной базой.</w:t>
      </w:r>
    </w:p>
    <w:p>
      <w:pPr>
        <w:spacing w:after="0" w:line="240" w:lineRule="auto"/>
        <w:ind w:firstLine="567"/>
        <w:contextualSpacing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Спроектировать модульную архитектуру ИС на базе React и Node.js с REST API, включающую Back-office и Front-office.</w:t>
      </w:r>
    </w:p>
    <w:p>
      <w:pPr>
        <w:spacing w:after="0" w:line="240" w:lineRule="auto"/>
        <w:ind w:firstLine="567"/>
        <w:contextualSpacing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Разработать компоненты React для регистрации и классификации договоров с поддержкой различных типов и статусов.</w:t>
      </w:r>
    </w:p>
    <w:p>
      <w:pPr>
        <w:spacing w:after="0" w:line="240" w:lineRule="auto"/>
        <w:ind w:firstLine="567"/>
        <w:contextualSpacing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Реализовать подсистему управления сроками исполнения с автоматическими напоминаниями и уведомлениями.</w:t>
      </w:r>
    </w:p>
    <w:p>
      <w:pPr>
        <w:spacing w:after="0" w:line="240" w:lineRule="auto"/>
        <w:ind w:firstLine="567"/>
        <w:contextualSpacing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Создать аналитический модуль для анализа исполнения договорных обязательств, контроля дебиторской и кредиторской задолженности.</w:t>
      </w:r>
    </w:p>
    <w:p>
      <w:pPr>
        <w:spacing w:after="0" w:line="240" w:lineRule="auto"/>
        <w:ind w:firstLine="567"/>
        <w:contextualSpacing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Выбрать современный стек технологий (React, Node.js, Express, MySQL) для реализации масштабируемой и надёжной системы.</w:t>
      </w:r>
    </w:p>
    <w:p>
      <w:pPr>
        <w:spacing w:after="0" w:line="240" w:lineRule="auto"/>
        <w:ind w:firstLine="567"/>
        <w:contextualSpacing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Объектом исследования выступают процессы управления договорами и контроля за их исполнением в коммерческих организациях.</w:t>
      </w:r>
    </w:p>
    <w:p>
      <w:pPr>
        <w:spacing w:after="0" w:line="240" w:lineRule="auto"/>
        <w:ind w:firstLine="567"/>
        <w:contextualSpacing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Программные средства: для реализации проекта будет использован фреймворк React для фронтенда, Node.js с Express для бэкенда и MySQL для управления базами данных, что позволит создать современное, масштабируемое и отзывчивое веб-приложение с одностраничной архитектурой (SPA).</w:t>
      </w:r>
    </w:p>
    <w:p>
      <w:pPr>
        <w:spacing w:after="0" w:line="240" w:lineRule="auto"/>
        <w:ind w:firstLine="567"/>
        <w:contextualSpacing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Ожидаемый эффект от внедрения разработанной системы заключается в получении организацией полного контроля над договорной базой, возможности принимать своевременные решения на основе достоверных данных о статусе исполнения, минимизации рисков упущения критических сроков и повышении эффективности взаимодействия с контрагентами. Система позволит снизить нагрузку на персонал, занятый рутинной работой с документами, и предоставить руководству инструменты для стратегического анализа договорной политики организации.</w:t>
      </w:r>
    </w:p>
    <w:p>
      <w:pPr>
        <w:spacing w:after="0" w:line="240" w:lineRule="auto"/>
        <w:ind w:firstLine="567"/>
        <w:contextualSpacing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br w:type="page"/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1. ПРЕДПРОЕКТНАЯ ЧАСТЬ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1.1 Технико-экономическое обоснование</w:t>
      </w:r>
    </w:p>
    <w:p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</w:pPr>
    </w:p>
    <w:p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Объектом автоматизации выступает совокупность бизнес-процессов по управлению договорами в ИП «Сарымсақ-Трейд», расположенном по адресу: г. Караганда, ул. Букетова, 28. Основной вид деятельности — оптово-розничная торговля строительными материалами и автомаслами. Организация активно взаимодействует с 45-50 контрагентами (поставщиками, дилерами, подрядчиками), ежегодно заключая 80-120 договоров различных типов. Общий объём договорного портфеля составляет 25-30 млн тенге.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Организационная структура линейно-функциональная: Директор (стратегическое управление), Главный бухгалтер (финансовый контроль), Менеджер по контрактам (ведение договорной базы), Начальник склада (контроль поставок), вспомогательный персонал.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Анализ текущей ситуации и системных проблем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Текущая система управления договорами основана на распределённом хранении: печатные оригиналы и отсканированные копии в папках по годам, сводки по договорам в Excel, уведомления через email и напоминания на бумажных стикерах. Это приводит к следующим проблемам: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Высокий риск ошибок (убытки 50-100 тыс. тг/год): Отсутствие единого реестра ведёт к дублированию, потере информации, ошибкам в реквизитах. Упущение сроков платежей составляет 3-5 случаев в год, влекущие штрафы и судебные издержки.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Отсутствие оперативности: Поиск договора по критериям требует 2-3 часов ручной работы. Формирование аналитических отчётов требует полного пересчёта данных вручную, что занимает 5-7 часов в неделю.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Неэффективное управление сроками (потери 100-150 тыс. тг/год): Без централизованной системы уведомлений возникают упущенные платежи, договоры, автоматически завершённые из-за отсутствия пролонгации.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Отсутствие аудита: Невозможно отследить историю изменений договоров, согласований, отсутствует механизм ролевого контроля.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 ходе анализа выяснилось, что отсутствие интегрированной системы снижает эффективность на 15-20%.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Анализ информационных потоков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Договорный цикл включает стадии: инициирование, согласование, подписание, исполнение, закрытие. На каждом этапе необходимо отслеживание дат (подписания, вступления в силу, платежей, поставок, продления). Текущая система не обеспечивает прозрачность, ведя к задержкам и ошибкам. Объём потоков: 80-120 договоров/год, 200-250 платежей/год, 150-200 документов/месяц.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Обоснование разработки ИС «ContractHub»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Разработка необходима для централизации учёта, автоматизации уведомлений, формирования аналитики и полного аудита. Внедрение позволит: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Централизовать договорную базу (экономия 8-10 часов/неделю).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Автоматически уведомлять о сроках за 7-14 дней.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Формировать отчёты в реальном времени.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Обеспечить полный аудит истории договора.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Снизить риск упущения на 95% (экономия 100-150 тыс. тг/год).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Организационная структура и состав подразделений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 w:eastAsia="zh-CN"/>
        </w:rPr>
        <w:t>Организационная структура объекта является линейно-функциональной, что типично для предприятий малого бизнеса в сфере торговли строительными материалами и автотоварами. Во главе стоит Руководитель (ИП), осуществляющий стратегическое планирование, управление финансовыми потоками и контроль ключевых сделок. Ему напрямую подчиняются три функциональных блока: коммерческий (Менеджеры по продажам), логистический (Склад и закупки) и административно-финансовый (Бухгалтерия). Коммерческий блок является основным драйвером деятельности, отвечая за взаимодействие с базой контрагентов и выполнение планов продаж. Детальная иерархия и связи подразделений представлены на Рисунке 1.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170805" cy="2647315"/>
            <wp:effectExtent l="0" t="0" r="1079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0805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Рисунок 1. Организационная структура ИП «Сарымсақ-Трейд»»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Рисунок 1 представляет собой иерархическую диаграмму организационной структуры, выполненную в формате блок-схемы с вертикальным расположением элементов. Верхний уровень занимает блок «Руководитель (ИП)», соединенный прямыми стрелками управления с руководителями функциональных направлений.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От центрального блока отходят три ключевые ветви подчинения: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«Коммерческий отдел» (с подуровнем «Менеджер по работе с клиентами»), фокусирующийся на поиске покупателей и ведении переговоров с 45–50 постоянными контрагентами.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«Отдел закупок и логистики» («Заведующий складом»), отвечающий за приемку, хранение и отгрузку стройматериалов и автомасел, а также инвентаризацию.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«Финансовый блок» («Бухгалтер»), обеспечивающий учет денежных средств и налоговую отчетность.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Стрелки подчинения (сплошные линии) показывают четкое распределение ответственности. Диаграмма содержит основные структурные единицы, необходимые для обеспечения торгового оборота в 25–30 млн тенге.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Однако анализ структуры выявляет узкие места в процессном управлении: функция управления договорами не выделена в отдельный блок, а «размыта» между директором, бухгалтером и менеджерами. Это приводит к тому, что обработка 80–120 договоров в год осуществляется фрагментарно, без использования единой информационной среды. Отсутствие централизованного инструмента (автоматизированной системы) вызывает дублирование данных при согласовании условий с поставщиками и подрядчиками, что увеличивает время на подготовку документов и повышает риск операционных ошибок. В текущих условиях (2025 г.) данная модель требует внедрения модуля автоматизации договорной работы для повышения прозрачности и скорости бизнес-процессов.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Анализ информационных потоков и документооборота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Текущая система управления договорами основана на распределённом хранении: печатные оригиналы и отсканированные копии в папках по годам, сводки по договорам в Excel, уведомления через email и напоминания на бумажных стикерах. Это приводит к следующим проблемам: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Высокий риск ошибок (убытки 50-100 тыс. тг/год): Отсутствие единого реестра ведёт к дублированию, потере информации, ошибкам в реквизитах. Упущение сроков платежей составляет 3-5 случаев в год, влекущие штрафы и судебные издержки.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Отсутствие оперативности: Поиск договора по критериям требует 2-3 часов ручной работы. Формирование аналитических отчётов требует полного пересчёта данных вручную, что занимает 5-7 часов в неделю.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Неэффективное управление сроками (потери 100-150 тыс. тг/год): Без централизованной системы уведомлений возникают упущенные платежи, договоры, автоматически завершённые из-за отсутствия пролонгации.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Отсутствие аудита: Невозможно отследить историю изменений договоров, согласований, отсутствует механизм ролевого контроля.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 ходе анализа выяснилось, что отсутствие интегрированной системы снижает эффективность на 15-20%.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highlight w:val="green"/>
          <w:lang w:val="ru-RU"/>
        </w:rPr>
      </w:pPr>
    </w:p>
    <w:p>
      <w:pPr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highlight w:val="none"/>
        </w:rPr>
        <w:drawing>
          <wp:inline distT="0" distB="0" distL="114300" distR="114300">
            <wp:extent cx="4832350" cy="2268855"/>
            <wp:effectExtent l="0" t="0" r="13970" b="1905"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pPr>
    </w:p>
    <w:p>
      <w:pPr>
        <w:spacing w:after="0" w:line="240" w:lineRule="auto"/>
        <w:ind w:firstLine="567"/>
        <w:jc w:val="center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  <w:t>Рисунок 2. Схема информационных потоков ИП «Сарымсақ-Трейд»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highlight w:val="green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  <w:t>Рисунок 2 изображает информационные потоки процесса согласования и учета договоров в формате swimlane-диаграммы (горизонтальные полосы по ролям: Инициатор договора, Юридический отдел, Бухгалтерия, Директор, Контрагент).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  <w:t>Черные стрелки (операционные потоки, толщиной 2 pt) показывают движение версий документов (например, от Инициатора к Юристам: проект договора с реквизитами; от Контрагента обратно в офис: подписанный скан-образ). Красные стрелки (управляющие команды) иллюстрируют резолюции (от Юридического отдела: «На доработку» при рисках, от Директора: «Утверждено к подписанию»), а зеленые (нормативная информация) — внешние ограничения (положения ГК РФ) и внутренние регламенты (Лимиты ответственности по сделкам).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  <w:t>Диаграмма включает 10–12 основных переходов и 4 точки принятия решений (ромбы), с подписями нагрузки (например, «Поток согласования: 15–20 договоров/неделю»).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  <w:t>Это визуализирует ключевые bottlenecks (узкие места):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  <w:t>Потеря времени на маршрутизацию: Физическое перемещение бумажных версий между отделами занимает до 3–4 дней, что затягивает цикл сделки (Time-to-Contract).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  <w:t>Отсутствие контроля сроков: Ручной контроль исполнения этапов (в Excel или журнале) приводит к пропуску сроков пролонгации или закрытия актов в 8–10% случаев.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  <w:t>Общий объем документооборота — около 80 договоров и доп. соглашений в месяц. Внедрение единой ИС позволит сократить время согласования на 40% и полностью исключить риски утери документов.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Обоснование необходимости разработки информационной системы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Разработка необходима для централизации учёта, автоматизации уведомлений, формирования аналитики и полного аудита. Внедрение позволит: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Централизовать договорную базу (экономия 8-10 часов/неделю).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Автоматически уведомлять о сроках за 7-14 дней.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Формировать отчёты в реальном времени.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Обеспечить полный аудит истории договора.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Снизить риск упущения на 95% (экономия 100-150 тыс. тг/год).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Анализ аналогов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На рынке представлены готовые программные продукты, такие как 1С, AmoCRM и другие корпоративные системы. Однако их использование связано с рядом ограничений. Во-первых, такие решения требуют обязательного приобретения годовой лицензии, стоимость которой варьируется в пределах 100–300 тыс. тенге, что увеличивает затраты на сопровождение информационной инфраструктуры. Во-вторых, большинство подобных систем обладают избыточным функционалом, ориентированным на широкие бизнес-сценарии и не всегда соответствующим специфике работы компании.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Разработка собственного веб-приложения на базе стека React обеспечивает существенные преимущества: возможность гибкой адаптации интерфейса и логики под внутренние процессы, отсутствие переплат за невостребованные модули, полная управляемость системой и её дальнейшее масштабирование. Такой подход позволяет создать инструмент, который точно соответствует требованиям организации и может эволюционировать по мере развития бизнеса.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1.2 Техническое задание 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Введение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Программа «ContractHub» — информационная система по учету договоров и контролю за их исполнением. Внедряется в ИП «Сарымсақ-Трейд» (г. Караганда). Предназначена для автоматизации процессов управления договорами, включая регистрацию, отслеживание сроков, контроль платежей и формирование отчётов.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Основания для разработки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Работа выполняется на основании результатов обследования деятельности ИП от 15.10.2025. Анализ выявил необходимость в централизованной системе. Система должна соответствовать требованиям Гражданского кодекса РК и Закона РК «Об электронном документе и электронной цифровой подписи» №370-II.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Назначение разработки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3.1) Функциональное назначение. Система предназначена для: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Ведения реестра договоров с информацией о контрагентах, суммах, сроках.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Управления статусами договоров (черновик, подписан, исполняется, завершён, закрыт).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Отслеживания ключевых дат с автоматическими уведомлениями.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Контроля дебиторской и кредиторской задолженности.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Формирования аналитических отчётов по портфелю договоров, просрочкам.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Ведения истории изменений договоров (аудит).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3.2) Эксплуатационное назначение. Продукт рассчитан на постоянную эксплуатацию сотрудниками в течение рабочего дня. Интерфейс должен быть интуитивно понятным для пользователей с базовым уровнем компьютерной грамотности.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1.3 Требования к программе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Функциональные характеристики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Система реализуется как современное веб-приложение (SPA) на React с разделением функционала по ролям: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Back-office (Администратор): управление реестром договоров, контрагентами, документами, настройка уведомлений.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Менеджер по контрактам: регистрация договоров, управление статусами и сроками.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Бухгалтер: контроль платежей, отслеживание задолженности.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Аналитическая подсистема: отчёты по состоянию договорной базы, визуализация данных с помощью Chart.js.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Требования к надёжности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Система должна блокировать ввод ошибочных данных, предусматривать резервное копирование БД. Время восстановления после сбоя не более одного часа.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Условия эксплуатации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Серверная часть на облаке или локальном сервере. Клиентская часть работает в веб-браузере (Chrome, Firefox, Safari). ОС: Windows 10/11, macOS, Linux.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Технические требования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Стек: React 18+, Node.js 16+, Express.js, MySQL 8.0+. Аппаратура серверная: минимум 2 ядра CPU, 4 ГБ ОЗУ, 50 ГБ SSD. Клиентская: любой современный ПК с браузером.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Требования к документации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Техническое задание, Пояснительная записка, Руководство оператора, API документация, архитектурная документация.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Технико-экономические показатели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Эффективность достигается за счет снижения издержек и предотвращения рисков. Основные источники экономии: отказ от дорогостоящих готовых решений (100-300 тыс. тг/год), предотвращение штрафов за упущение сроков (100-150 тыс. тг/год), экономия времени персонала (15-20 часов/неделю).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7) Стадии и этапы разработки представленные на таблице 2.</w:t>
      </w:r>
    </w:p>
    <w:p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>
      <w:pPr>
        <w:spacing w:after="0"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2 – Стадии и план работ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2052"/>
        <w:gridCol w:w="1774"/>
        <w:gridCol w:w="1562"/>
        <w:gridCol w:w="198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8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Наименование этапа</w:t>
            </w:r>
          </w:p>
        </w:tc>
        <w:tc>
          <w:tcPr>
            <w:tcW w:w="2108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Содержание работ</w:t>
            </w:r>
          </w:p>
        </w:tc>
        <w:tc>
          <w:tcPr>
            <w:tcW w:w="1837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Сроки</w:t>
            </w:r>
          </w:p>
        </w:tc>
        <w:tc>
          <w:tcPr>
            <w:tcW w:w="1252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Исполнитель</w:t>
            </w:r>
          </w:p>
        </w:tc>
        <w:tc>
          <w:tcPr>
            <w:tcW w:w="2037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Результат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8" w:type="dxa"/>
            <w:vAlign w:val="center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Техническое задание</w:t>
            </w:r>
          </w:p>
        </w:tc>
        <w:tc>
          <w:tcPr>
            <w:tcW w:w="2108" w:type="dxa"/>
            <w:vAlign w:val="center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Постановка задачи, сбор требований, оформление и утверждение ТЗ.</w:t>
            </w:r>
          </w:p>
        </w:tc>
        <w:tc>
          <w:tcPr>
            <w:tcW w:w="1837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</w:t>
            </w:r>
            <w:r>
              <w:rPr>
                <w:rFonts w:hint="default" w:ascii="Times New Roman" w:hAnsi="Times New Roman" w:cs="Times New Roman"/>
                <w:lang w:val="ru-RU"/>
              </w:rPr>
              <w:t>8</w:t>
            </w:r>
            <w:r>
              <w:rPr>
                <w:rFonts w:hint="default" w:ascii="Times New Roman" w:hAnsi="Times New Roman" w:cs="Times New Roman"/>
              </w:rPr>
              <w:t>.10.2025</w:t>
            </w:r>
            <w:r>
              <w:rPr>
                <w:rFonts w:hint="default" w:ascii="Times New Roman" w:hAnsi="Times New Roman" w:cs="Times New Roman"/>
                <w:lang w:val="ru-RU"/>
              </w:rPr>
              <w:t>-</w:t>
            </w:r>
            <w:r>
              <w:rPr>
                <w:rFonts w:hint="default" w:ascii="Times New Roman" w:hAnsi="Times New Roman" w:cs="Times New Roman"/>
              </w:rPr>
              <w:t xml:space="preserve"> 15.10.2025</w:t>
            </w:r>
          </w:p>
        </w:tc>
        <w:tc>
          <w:tcPr>
            <w:tcW w:w="1252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</w:p>
        </w:tc>
        <w:tc>
          <w:tcPr>
            <w:tcW w:w="2037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Утвержденное ТЗ (КТ-1)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8" w:type="dxa"/>
            <w:vAlign w:val="center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Технический проект</w:t>
            </w:r>
          </w:p>
        </w:tc>
        <w:tc>
          <w:tcPr>
            <w:tcW w:w="2108" w:type="dxa"/>
            <w:vAlign w:val="center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Проектирование архитектуры, разработка структуры БД (ER-диаграмма), разработка алгоритмов.</w:t>
            </w:r>
          </w:p>
        </w:tc>
        <w:tc>
          <w:tcPr>
            <w:tcW w:w="1837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  <w:r>
              <w:rPr>
                <w:rFonts w:hint="default" w:ascii="Times New Roman" w:hAnsi="Times New Roman" w:cs="Times New Roman"/>
                <w:lang w:val="ru-RU"/>
              </w:rPr>
              <w:t>8</w:t>
            </w:r>
            <w:r>
              <w:rPr>
                <w:rFonts w:hint="default" w:ascii="Times New Roman" w:hAnsi="Times New Roman" w:cs="Times New Roman"/>
              </w:rPr>
              <w:t>.10.2025</w:t>
            </w:r>
            <w:r>
              <w:rPr>
                <w:rFonts w:hint="default" w:ascii="Times New Roman" w:hAnsi="Times New Roman" w:cs="Times New Roman"/>
                <w:lang w:val="ru-RU"/>
              </w:rPr>
              <w:t>-</w:t>
            </w:r>
            <w:r>
              <w:rPr>
                <w:rFonts w:hint="default" w:ascii="Times New Roman" w:hAnsi="Times New Roman" w:cs="Times New Roman"/>
              </w:rPr>
              <w:t>10.11.2025</w:t>
            </w:r>
          </w:p>
        </w:tc>
        <w:tc>
          <w:tcPr>
            <w:tcW w:w="1252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37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Пояснительная записка, схема БД (КТ-2)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2008" w:type="dxa"/>
            <w:vAlign w:val="center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Рабочий проект</w:t>
            </w:r>
          </w:p>
        </w:tc>
        <w:tc>
          <w:tcPr>
            <w:tcW w:w="2108" w:type="dxa"/>
            <w:vAlign w:val="center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Написание программного кода (PHP/JS), верстка интерфейсов, создание SQL-запросов.</w:t>
            </w:r>
          </w:p>
        </w:tc>
        <w:tc>
          <w:tcPr>
            <w:tcW w:w="1837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11.11.2025</w:t>
            </w:r>
            <w:r>
              <w:rPr>
                <w:rFonts w:hint="default" w:ascii="Times New Roman" w:hAnsi="Times New Roman" w:cs="Times New Roman"/>
                <w:lang w:val="ru-RU"/>
              </w:rPr>
              <w:t>-</w:t>
            </w:r>
            <w:r>
              <w:rPr>
                <w:rFonts w:hint="default" w:ascii="Times New Roman" w:hAnsi="Times New Roman" w:cs="Times New Roman"/>
              </w:rPr>
              <w:t xml:space="preserve"> 10.12.2025</w:t>
            </w:r>
          </w:p>
        </w:tc>
        <w:tc>
          <w:tcPr>
            <w:tcW w:w="1252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37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Исходный код React/Node.js, прототип</w:t>
            </w: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8" w:type="dxa"/>
            <w:vAlign w:val="center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Внедрение </w:t>
            </w:r>
          </w:p>
        </w:tc>
        <w:tc>
          <w:tcPr>
            <w:tcW w:w="2108" w:type="dxa"/>
            <w:vAlign w:val="center"/>
          </w:tcPr>
          <w:p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Тестирование, исправление ошибок, написание руководства оператора, защита.</w:t>
            </w:r>
          </w:p>
        </w:tc>
        <w:tc>
          <w:tcPr>
            <w:tcW w:w="1837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11.12.2025</w:t>
            </w:r>
            <w:r>
              <w:rPr>
                <w:rFonts w:hint="default" w:ascii="Times New Roman" w:hAnsi="Times New Roman" w:cs="Times New Roman"/>
                <w:lang w:val="ru-RU"/>
              </w:rPr>
              <w:t>-</w:t>
            </w:r>
            <w:r>
              <w:rPr>
                <w:rFonts w:hint="default" w:ascii="Times New Roman" w:hAnsi="Times New Roman" w:cs="Times New Roman"/>
              </w:rPr>
              <w:t>2</w:t>
            </w:r>
            <w:r>
              <w:rPr>
                <w:rFonts w:hint="default" w:ascii="Times New Roman" w:hAnsi="Times New Roman" w:cs="Times New Roman"/>
                <w:lang w:val="ru-RU"/>
              </w:rPr>
              <w:t>3</w:t>
            </w:r>
            <w:r>
              <w:rPr>
                <w:rFonts w:hint="default" w:ascii="Times New Roman" w:hAnsi="Times New Roman" w:cs="Times New Roman"/>
              </w:rPr>
              <w:t>.12.2025</w:t>
            </w:r>
          </w:p>
        </w:tc>
        <w:tc>
          <w:tcPr>
            <w:tcW w:w="1252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37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Готовый продукт, документация (КТ-3)</w:t>
            </w:r>
          </w:p>
        </w:tc>
      </w:tr>
    </w:tbl>
    <w:p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>
      <w:pPr>
        <w:spacing w:after="0" w:line="240" w:lineRule="auto"/>
        <w:ind w:firstLine="567"/>
        <w:contextualSpacing/>
        <w:jc w:val="both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t>2. ПРОЕКТНАЯ ЧАСТЬ</w:t>
      </w:r>
    </w:p>
    <w:p>
      <w:pPr>
        <w:spacing w:after="0" w:line="240" w:lineRule="auto"/>
        <w:ind w:firstLine="567"/>
        <w:contextualSpacing/>
        <w:jc w:val="both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</w:pPr>
    </w:p>
    <w:p>
      <w:pPr>
        <w:spacing w:after="0" w:line="240" w:lineRule="auto"/>
        <w:ind w:left="57"/>
        <w:jc w:val="both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t>2.1 Технический проект</w:t>
      </w:r>
    </w:p>
    <w:p>
      <w:pPr>
        <w:spacing w:after="0" w:line="240" w:lineRule="auto"/>
        <w:ind w:left="57"/>
        <w:jc w:val="both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</w:pPr>
    </w:p>
    <w:p>
      <w:pPr>
        <w:spacing w:after="0" w:line="240" w:lineRule="auto"/>
        <w:ind w:left="57"/>
        <w:jc w:val="both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Технический проект определяет архитектуру информационной системы «ContractHub» как модульного веб-приложения (SPA) на стеке MERN (MySQL, Express, React, Node.js). Система ориентирована на автоматизацию договорной работы в сфере оптово-розничной торговли строительными материалами.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Это решение предназначено для ИП «Сарымсақ-Трейд», где текущие процессы ведения договоров сопряжены с высокими рисками упущения сроков и отсутствием единой аналитики. Внедрение системы позволит централизовать работу с 45–50 контрагентами и портфелем в 30 млн тенге.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Характеристика входной информации: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Справочные данные: Реквизиты контрагентов (БИН/ИИН, адрес, банковские счета), типы договоров (поставка, подряд, услуги).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Оперативные данные: Параметры нового договора (номер, дата подписания, сумма, сроки этапов), сканированные копии документов (PDF/JPG), данные о фактических платежах (из выписок банка).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Нормативные данные: Правила валидации полей (формат ИИН, обязательность полей согласно ГК РК).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84800" cy="3379470"/>
            <wp:effectExtent l="0" t="0" r="10160" b="381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left="708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Рисунок 3. Общая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IDEF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0-диаграмма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A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-0 (контекст системы как единый блок 0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p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с внешними потоками).</w:t>
      </w:r>
    </w:p>
    <w:p>
      <w:pPr>
        <w:spacing w:after="0" w:line="240" w:lineRule="auto"/>
        <w:ind w:left="708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keepNext w:val="0"/>
        <w:keepLines w:val="0"/>
        <w:widowControl/>
        <w:suppressLineNumbers w:val="0"/>
        <w:ind w:firstLine="709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Описание Рисунка 3: На входе в систему поступают данные от контрагентов и первичная документация. Управление процессом осуществляется на основе ГК РК и регламентов фирмы. Механизмами выступают персонал и программно-аппаратный комплекс. На выходе формируются реестры, уведомления и отчетность.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4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173345" cy="3488690"/>
            <wp:effectExtent l="0" t="0" r="8255" b="1270"/>
            <wp:docPr id="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334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left="708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 w:eastAsia="zh-CN"/>
        </w:rPr>
        <w:t>Рисунок 4. Декомпозиция диаграммы A0 (Основные подсистемы)</w:t>
      </w:r>
    </w:p>
    <w:p>
      <w:pPr>
        <w:spacing w:after="0" w:line="240" w:lineRule="auto"/>
        <w:ind w:left="708"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Описание Рисунка 4: Вот краткое описание получившейся диаграммы для вставки в работу: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Рисунок [Номер]. Декомпозиция процесса «Учет договоров и контроль их исполнения» (IDEF0)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Диаграмма детализирует главную функцию системы на четыре последовательных этапа: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А1 (Регистрация и согласование) — обработка входящих проектов договоров и запуск маршрута согласования.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А2 (Подписание и архивация) — перевод согласованного документа в статус действующего и формирование реестра.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А3 (Контроль исполнения обязательств) — ключевой блок мониторинга сроков и актов выполненных работ.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А4 (Анализ и отчетность) — генерация управленческой отчетности для руководства.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Стрелки отображают логику процесса: «Входы» (проекты, акты) преобразуются в «Выходы» (отчеты, уведомления, архив) под управлением нормативной базы РК (верхние стрелки) и при участии сотрудников и проектируемой ИС (нижние стрелки).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2.1.1 Информационное обеспечение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Единая система классификации и кодирования: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Договоры — по формату ДГ-YYYYMMDD-NNN (например, ДГ-20251015-001).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Контрагенты — по ИНН (12-значный код).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Платежи — по номеру договора + порядковый номер платежа.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Унифицированные системы документации: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Первичные документы (договоры, акты выполнения) унифицированы по форме Гражданского кодекса РК: договор содержит номер, дату, стороны, предмет, сумму, сроки исполнения; платёжное поручение — данные контрагента, сумму, дату.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Схемы информационных потоков: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Операционные потоки (чёрные стрелки): Контрагент → Договор (ввод реквизитов) → Платёж (создание счёта) → Уведомление (email менеджеру).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Управляющие потоки (красные): Администратор → Система (изменение статуса договора).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Нормативные потоки (зелёные): НСИ → Все модули (классификация договоров). Bottlenecks минимизированы: задержки &lt;1 сек за счёт индексации БД по полям contract_id, payment_date_due.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Методология построения баз данных: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Реляционная модель (MySQL) с нормализацией 3NF. ER-диаграмма: сущности (contractors, contracts, payments, users) связаны foreign keys. Хранение: 5 ГБ для 5 лет истории (80-120 договоров/год × 25 таблиц записей). Резервное копирование: ежедневное (MySQL mysqldump).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Общая ER-диаграмма: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12 основных таблиц: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contractors (контрагенты) ← contracts (договоры) ← contract_terms (сроки), payments (платежи), contract_documents (документы), contract_history (аудит).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users (пользователи) — связь с contract_history (кто изменил).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notifications (уведомления) ← contracts &amp; users.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420" w:firstLineChars="15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left="708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30875" cy="3226435"/>
            <wp:effectExtent l="0" t="0" r="14605" b="444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93"/>
        </w:tabs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>
      <w:pPr>
        <w:tabs>
          <w:tab w:val="left" w:pos="993"/>
        </w:tabs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Рисунок 5. Схема связи базы данных</w:t>
      </w:r>
    </w:p>
    <w:p>
      <w:pPr>
        <w:spacing w:after="0" w:line="240" w:lineRule="auto"/>
        <w:rPr>
          <w:rFonts w:hint="default" w:ascii="Times New Roman" w:hAnsi="Times New Roman" w:cs="Times New Roman"/>
          <w:lang w:val="ru-RU"/>
        </w:rPr>
      </w:pPr>
    </w:p>
    <w:p>
      <w:pPr>
        <w:spacing w:after="0" w:line="240" w:lineRule="auto"/>
        <w:ind w:left="708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Связи: contractors (1) ← → (N) contracts; contracts (1) ← → (N) payments, contract_terms, contract_documents, contract_history; users (1) ← → (N) contract_history, notifications.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2.1.2 Программное обеспечение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Архитектура и парадигма: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Применён архитектурный шаблон MVC с разделением на фронтенд (React) и бэкенд (Node.js/Express).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Фронтенд (React):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Язык: JavaScript ES6+. Фреймворк: React 18+. Управление состоянием: Redux. Маршрутизация: React Router v6. Визуализация: Chart.js / Recharts. Стили: Material-UI (MUI). HTTP-клиент: Axios. Сборка: Webpack (Create React App).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Компоненты организованы иерархически: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App → Header, Sidebar, MainContent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MainContent → ContractList, ContractForm, PaymentTracker, Analytics, etc.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Бэкенд (Node.js/Express):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Runtime: Node.js 16+. Фреймворк: Express.js 4.18+. ORM: Sequelize 6+ (для MySQL). Аутентификация: JWT (jsonwebtoken). Валидация: express-validator. Загрузка файлов: Multer. Email: Nodemailer. Логирование: Winston.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Среда разработки: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VS Code с расширениями (ESLint, Prettier, Thunder Client для тестирования API). Git для контроля версий (GitHub/GitLab).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Инструменты отладки: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React DevTools (браузер), Node debugger (--inspect flag), MySQL Workbench (визуализация БД), Postman (тестирование API).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Безопасность: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Все API эндпоинты защищены JWT-токенами, проверяемыми middleware authMiddleware.js.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Для операций с БД используется Sequelize ORM с параметризованными запросами (защита от SQL-инъекций).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Пароли хранятся в виде bcrypt-хешей.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Все данные передаются по HTTPS.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Целостность: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Express-контроллеры обеспечивают программное управление транзакциями (transaction() в Sequelize), критичное для атомарности финансовых операций (если платёж создан, но уведомление не отправлено, транзакция откатывается).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Фронтенд-оптимизация (AJAX-подход):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React использует асинхронные запросы (async/await) для загрузки договоров без полной перезагрузки страницы. Поиск по договорам триггерит debounced API запрос, снижая нагрузку на сервер.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2.1.3 Техническое обеспечение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Серверный узел: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ОС: Linux (Ubuntu 20.04 LTS) или Windows Server.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Runtime: Node.js 16+ LTS.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СУБД: MySQL 8.0.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Веб-сервер: nginx 1.20+ (reverse proxy).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Хранилище: SSD 50 ГБ минимум (для БД + логов + резервных копий).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CPU: 2 ядра, RAM: 4 ГБ.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Развертывание: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Docker контейнеры (docker-compose.yml содержит services: frontend, backend, mysql, nginx).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Клиентский узел (минимальные требования):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CPU: Intel Core i5 или эквивалент.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RAM: 4 ГБ.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Браузер: Chrome 90+, Firefox 88+, Safari 14+.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ОС: Windows 10/11, macOS, Linux.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2.1.4 Сетевое обеспечение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Топология: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Архитектура SPA (Single Page Application) с REST API: клиент (React) → nginx (обратный прокси) → Express сервер → MySQL.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Протоколы: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Весь трафик по HTTPS (TLS 1.3). API использует REST с JSON. WebSocket для real-time уведомлений (опционально).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Пропускная способность: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Минимум 100 Мбит/s (LAN). При облачном развертывании: 10 Мбит/s upstream достаточно для 15 одновременных пользователей.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2.1.5 Технологическое обеспечение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Управление доступом (RBAC):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Четыре роли: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Admin: Полный доступ ко всем контроллерам (ContractList, PaymentTracker, Analytics, UserManagement).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Manager: Создание/редактирование договоров, ведение сроков, просмотр аналитики (но не удаление, не управление пользователями).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Accountant: Просмотр договоров, управление платежами, просмотр задолженности (но не удаление договоров).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Viewer: Только просмотр договоров и отчётов (read-only).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Проверка ролей через middleware roleMiddleware.js в Express маршрутах.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Партионный учёт (FIFO для сроков):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При списании платежа система автоматически выбирает платёж с наименьшей датой (ORDER BY payment_date_due ASC LIMIT 1), что соответствует методу FIFO.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Транзакции ACID: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Sequelize.transaction() обеспечивает атомарность: либо операция выполнена полностью, либо полностью откачена. Пример: платёж регистрируется → проверяется статус → обновляется балл → отправляется уведомление. Если уведомление fails, весь rollback.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2.1.6 Эргономическое обеспечение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Рабочее место персонала: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Площадь: не менее 6 м².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Стол: высота 680-800 мм, регулируемый.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Стул: спинка и подлокотники, поддержка поясницы.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Экран: 60-70 см от глаз, диагональ минимум 21 дюйм.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Освещение: 300-500 люкс (искусственное + естественное).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Микроклимат: температура 20-24°C, влажность 40-60%.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2.1.7 Кадровое обеспечение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Система жёсткая ролевая модель, зеркально отражающая должности: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Администратор (IT-специалист): управление пользователями, система целиком.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Менеджер по контрактам: работает в ContractList, ContractForm, PaymentTracker. Может создавать договоры, но не удалять.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Главный бухгалтер: работает в PaymentTracker, Analytics. Отмечает платежи, смотрит задолженность.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Директор: работает в Analytics (dashboard только).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Обучение: 1 день для каждой роли (интерфейс максимально упрощён).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2.1.8 Лингвистическое обеспечение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Интерфейс React полностью на русском языке. i18n (internationalization) с использованием react-i18next позволяет легко добавить другие языки в будущем. Кодировка UTF-8 везде.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2.1.9 Математическое обеспечение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Поиск товара: O(log n) за счёт индексации MySQL по contract_number, contractor_id.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Финансовая математика: розничная цена = закупочная цена + наценка (% от контракта). Задолженность = Σ(платежи_должны) - Σ(платежи_оплачено).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Аналитический блок: ABC-XYZ анализ для ранжирования договоров по прибыльности (SELECT contract_type, SUM(value) FROM contracts GROUP BY contract_type).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2.1.10 Правовое обеспечение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При разработке соблюдались требования законодательства РК: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Гражданский кодекс РК (договорное право) — алгоритмы создания/редактирования договоров.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Закон РК «Об электронном документе и электронной цифровой подписи» № 370-II (07.01.2003) — электронные счета-фактуры имеют юридическую силу.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2.1.11 Организационное обеспечение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Разработаны и введены в действие регламенты: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Инструкция по использованию системы для каждой роли.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Политика информационной безопасности (запрет на передачу паролей, обязательная смена пароля раз в 90 дней).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График резервного копирования (ежедневное, хранение 30 дней).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2.2 РАБОЧИЙ ПРОЕКТ </w:t>
      </w:r>
    </w:p>
    <w:p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Программная реализация информационной системы «Asklepka» выполнена на языке PHP версии 8.2 в процедурном стиле [9, с. 1]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В качестве системы управления базами данных выбрана MariaDB, взаимодействие с которой организовано через расширение MySQLi. При написании кода приоритет отдавался безопасности данных, для чего повсеместно внедрены подготовленные выражения (prepared statements), исключающие возможность SQL-инъекций.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2.2.1 Описание алгоритмов функционирования системы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Логика работы приложения декомпозирована на независимые функциональные блоки. Ниже приведено описание алгоритмических решений, примененных в ключевых скриптах системы.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1. Инициализация окружения и контроль доступа (config.php) Скрипт config.php выступает единой точкой входа для конфигурации системы. В нем реализована инициализация сессии (session_start) и установка соединения с БД в кодировке utf8mb4, что критично для корректной работы с кириллическими наименованиями препаратов. Для разграничения прав доступа разработан механизм на базе функции require_role(). При попытке обращения к административным скриптам система проверяет массив допустимых ролей и, в случае несоответствия текущей роли пользователя (хранимой в $_SESSION['role']), принудительно завершает выполнение скрипта, возвращая статус 403 Forbidden.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2. Модуль кассовых операций и обработка транзакций (sale.php) Наиболее сложная логика реализована в модуле продаж. Алгоритм регистрации чека спроектирован с учетом требований ACID (атомарность, согласованность, изоляция, долговечность).</w:t>
      </w:r>
    </w:p>
    <w:p>
      <w:pPr>
        <w:pStyle w:val="13"/>
        <w:numPr>
          <w:ilvl w:val="0"/>
          <w:numId w:val="1"/>
        </w:numPr>
        <w:spacing w:after="0" w:line="240" w:lineRule="auto"/>
        <w:ind w:left="0"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Обработка смешанной оплаты: При реализации комбинированного типа оплаты (mixed), когда часть суммы вносится наличными, а часть картой, была решена проблема точности операций с плавающей точкой (float). Стандартное сравнение сумм заменено на проверку модуля разности: условие abs(($mixed_cash + $mixed_card) - $grandTotal) &gt; 0.009 гарантирует точность расчетов до копейки и предотвращает закрытие чека при расхождении сумм.</w:t>
      </w:r>
    </w:p>
    <w:p>
      <w:pPr>
        <w:pStyle w:val="13"/>
        <w:numPr>
          <w:ilvl w:val="0"/>
          <w:numId w:val="1"/>
        </w:numPr>
        <w:spacing w:after="0" w:line="240" w:lineRule="auto"/>
        <w:ind w:left="0"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Динамическое ценообразование: В массиве сессии корзины сохраняется исходная закупочная цена товара. Это позволяет фармацевту изменять наценку «на лету», выбирая значение из предустановленного массива $markup_options, после чего система автоматически пересчитывает розничную цену.</w:t>
      </w:r>
    </w:p>
    <w:p>
      <w:pPr>
        <w:pStyle w:val="13"/>
        <w:numPr>
          <w:ilvl w:val="0"/>
          <w:numId w:val="1"/>
        </w:numPr>
        <w:spacing w:after="0" w:line="240" w:lineRule="auto"/>
        <w:ind w:left="0"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Транзакционная целостность: Запись данных о продаже обернута в блок транзакции (begin_transaction). Перед финальной фиксацией (commit) выполняется повторная сверка доступного остатка в таблице medicines. Если в момент оформления товара на складе оказалось недостаточно, система инициирует откат изменений (rollback), предотвращая появление отрицательных остатков.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3. Механизм авторизации (login.php) Вход в систему осуществляется методом POST с обязательной предварительной фильтрацией данных функцией trim. Безопасность аутентификации обеспечивается отказом от хранения паролей в открытом виде: проверка учетных данных производится исключительно через криптографическую функцию password_verify, сверяющую введенную строку с хешем в базе данных.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4. Асинхронный поиск товаров (search_ajax.php) Для оптимизации работы оператора внедрен механизм «живого поиска». Клиентский скрипт перехватывает ввод данных и отправляет фоновые запросы серверу. Выборка из БД осуществляется оператором LIKE по полям названия и штрихкода. Важной особенностью является фильтрация удаленных позиций: в выдачу не попадают товары, помеченные флагом «мягкого удаления» (is_deleted = 1).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5. Учет товародвижения (deliveries.php) Алгоритм приходования товара предусматривает одновременную запись в две связанные таблицы: deliveries (для фиксации факта поставки) и batches (для партионного учета). Регистрация срока годности каждой партии создает базу для реализации стратегии выбытия FEFO (First Expired, First Out), минимизируя потери от просрочки.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2.2.2 Технологические инструкции по эксплуатации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Эксплуатация системы персоналом аптеки должна осуществляться в строгом соответствии со следующим технологическим регламентом: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1. Запуск рабочего места: Перед началом смены необходимо убедиться в активности служб локального веб-сервера (Apache и MySQL в панели XAMPP) и пройти процедуру авторизации под индивидуальной учетной записью.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2. Оформление реализации:</w:t>
      </w:r>
    </w:p>
    <w:p>
      <w:pPr>
        <w:pStyle w:val="13"/>
        <w:numPr>
          <w:ilvl w:val="0"/>
          <w:numId w:val="2"/>
        </w:numPr>
        <w:spacing w:after="0" w:line="240" w:lineRule="auto"/>
        <w:ind w:left="0"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Идентификация товара производится сканированием штрих-кода или контекстным поиском по наименованию (ввод не менее 3 символов).</w:t>
      </w:r>
    </w:p>
    <w:p>
      <w:pPr>
        <w:pStyle w:val="13"/>
        <w:numPr>
          <w:ilvl w:val="0"/>
          <w:numId w:val="2"/>
        </w:numPr>
        <w:spacing w:after="0" w:line="240" w:lineRule="auto"/>
        <w:ind w:left="0"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При выборе смешанной оплаты оператор обязан внимательно заполнить поля сумм наличной и безналичной оплаты — система не допустит проведения чека при наличии математического расхождения.</w:t>
      </w:r>
    </w:p>
    <w:p>
      <w:pPr>
        <w:pStyle w:val="13"/>
        <w:numPr>
          <w:ilvl w:val="0"/>
          <w:numId w:val="2"/>
        </w:numPr>
        <w:spacing w:after="0" w:line="240" w:lineRule="auto"/>
        <w:ind w:left="0"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Завершение операции подтверждается системным уведомлением и формированием печатной формы чека.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3. Ведение складского учета: Приемка товара осуществляется исключительно через интерфейс «Добавить поставку». Критически важным является корректный ввод даты истечения срока годности, так как этот параметр влияет на порядок списания товаров со склада.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2.2.3 Регламент разграничения прав доступа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Политика безопасности системы базируется на ролевой модели, зафиксированной в структуре базы данных:</w:t>
      </w:r>
    </w:p>
    <w:p>
      <w:pPr>
        <w:pStyle w:val="13"/>
        <w:numPr>
          <w:ilvl w:val="0"/>
          <w:numId w:val="3"/>
        </w:numPr>
        <w:spacing w:after="0" w:line="240" w:lineRule="auto"/>
        <w:ind w:left="0"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Роль «Seller» (Фармацевт): Доступ ограничен операционным контуром — интерфейсом кассы и просмотром каталога. Функции изменения глобальных настроек, удаления номенклатуры и просмотр закупочных цен программно заблокированы.</w:t>
      </w:r>
    </w:p>
    <w:p>
      <w:pPr>
        <w:pStyle w:val="13"/>
        <w:numPr>
          <w:ilvl w:val="0"/>
          <w:numId w:val="3"/>
        </w:numPr>
        <w:spacing w:after="0" w:line="240" w:lineRule="auto"/>
        <w:ind w:left="0"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Роль «Admin» (Заведующий): Предоставляются полные права, включая управление учетными записями пользователей, изменение конфигурации в settings.php, проведение инвентаризации и доступ к аналитическим отчетам по прибыльности.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2.2.4 Требования к ведению нормативно-справочной информации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Для обеспечения корректности аналитических отчетов при наполнении справочников необходимо соблюдать следующие правила валидации:</w:t>
      </w:r>
    </w:p>
    <w:p>
      <w:pPr>
        <w:pStyle w:val="13"/>
        <w:numPr>
          <w:ilvl w:val="0"/>
          <w:numId w:val="4"/>
        </w:numPr>
        <w:spacing w:after="0" w:line="240" w:lineRule="auto"/>
        <w:ind w:left="0"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Уникальность: Штрихкод товара должен быть уникальным в пределах базы данных и соответствовать стандарту EAN-13.</w:t>
      </w:r>
    </w:p>
    <w:p>
      <w:pPr>
        <w:pStyle w:val="13"/>
        <w:numPr>
          <w:ilvl w:val="0"/>
          <w:numId w:val="4"/>
        </w:numPr>
        <w:spacing w:after="0" w:line="240" w:lineRule="auto"/>
        <w:ind w:left="0" w:firstLine="567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Целостность истории: Физическое удаление товаров из базы данных запрещено. Для вывода позиции из оборота используется механизм «мягкого удаления» (установка соответствующего флага), что позволяет сохранить исторические данные в отчетах о продажах.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br w:type="page"/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3. ВВОД В ЭКСПЛУАТАЦИЮ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3.1 Программная реализация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3.1.1 Назначение программы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Программный комплекс «ContractHub» служит инструментом автоматизации управления договорной базой на основе современных технологий React и MySQL. Функциональный контур охватывает: ведение реестра договоров, управление статусами, контроль платежей, формирование отчётов, ведение истории изменений.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3.1.2 Условия выполнения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Серверный сегмент: Node.js 16+, Express, MySQL 8.0+, Docker (опционально). Клиентские места: ПК Windows 10/11 / macOS / Linux, веб-браузер Chrome/Firefox/Safari.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3.1.3 Установка и настройка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# Клонирование репозитория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git clone https://github.com/user/contracthub.git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cd contracthub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# Установка backend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cd backend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npm install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# Настройка .env файла с параметрами MySQL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# Запуск миграций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npm run migrate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# Запуск сервера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npm start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# В отдельном терминале установка frontend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cd ../frontend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npm install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# Запуск фронтенда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npm start</w:t>
      </w:r>
      <w:r>
        <w:rPr>
          <w:rFonts w:hint="default" w:ascii="Times New Roman" w:hAnsi="Times New Roman" w:eastAsia="Apto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Aptos" w:cs="Times New Roman"/>
          <w:sz w:val="28"/>
          <w:szCs w:val="28"/>
        </w:rPr>
        <w:t>3.1.4 Выполнение программы (Сценарии работы)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20" w:firstLineChars="150"/>
        <w:jc w:val="both"/>
        <w:textAlignment w:val="auto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Авторизация: Оператор вводит логин и пароль в форму входа. Система проверяет учётные данные через JWT и предоставляет доступ в соответствии с ролью пользователя (администратор, менеджер)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, как показано на рисунке 6</w:t>
      </w:r>
      <w:r>
        <w:rPr>
          <w:rFonts w:hint="default" w:ascii="Times New Roman" w:hAnsi="Times New Roman" w:eastAsia="Aptos" w:cs="Times New Roman"/>
          <w:sz w:val="28"/>
          <w:szCs w:val="28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360" w:firstLineChars="150"/>
        <w:jc w:val="center"/>
        <w:textAlignment w:val="auto"/>
        <w:rPr>
          <w:rFonts w:hint="default" w:ascii="Times New Roman" w:hAnsi="Times New Roman" w:eastAsia="Aptos" w:cs="Times New Roman"/>
          <w:sz w:val="28"/>
          <w:szCs w:val="28"/>
        </w:rPr>
      </w:pPr>
      <w:r>
        <w:drawing>
          <wp:inline distT="0" distB="0" distL="114300" distR="114300">
            <wp:extent cx="4413885" cy="3913505"/>
            <wp:effectExtent l="0" t="0" r="5715" b="3175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39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20" w:firstLineChars="150"/>
        <w:jc w:val="center"/>
        <w:textAlignment w:val="auto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Рисунок 6. Авторизация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20" w:firstLineChars="150"/>
        <w:jc w:val="both"/>
        <w:textAlignment w:val="auto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Ведение реестра договоров: После входа загружается главная страница с таблицей всех договоров. Фильтрация по статусу, типу, контрагенту. Цветовая индикация: красный фон для просроченных сроков исполнения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, как показано на рисунке 7</w:t>
      </w:r>
      <w:r>
        <w:rPr>
          <w:rFonts w:hint="default" w:ascii="Times New Roman" w:hAnsi="Times New Roman" w:eastAsia="Aptos" w:cs="Times New Roman"/>
          <w:sz w:val="28"/>
          <w:szCs w:val="28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20" w:firstLineChars="150"/>
        <w:jc w:val="center"/>
        <w:textAlignment w:val="auto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731510" cy="4323080"/>
            <wp:effectExtent l="0" t="0" r="13970" b="5080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pto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Рисунок 7. Реестр договоров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20" w:firstLineChars="150"/>
        <w:jc w:val="both"/>
        <w:textAlignment w:val="auto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Регистрация договора: Кнопка «Добавить договор» → Форма с полями (номер, тип, контрагент, сумма, даты) → Загрузка отсканированного договора → Система сохраняет в БД и создаёт задачи на уведомления.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20" w:firstLineChars="150"/>
        <w:jc w:val="center"/>
        <w:textAlignment w:val="auto"/>
        <w:rPr>
          <w:rFonts w:hint="default" w:ascii="Times New Roman" w:hAnsi="Times New Roman" w:eastAsia="Aptos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723255" cy="2595245"/>
            <wp:effectExtent l="0" t="0" r="6985" b="10795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8. Регистрация договора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20" w:firstLineChars="150"/>
        <w:jc w:val="both"/>
        <w:textAlignment w:val="auto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Контроль платежей: Таблица платежей с указанием дат, сумм и статусов. Бухгалтер отмечает оплату → система обновляет статус в БД и пересчитывает задолженность.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20" w:firstLineChars="150"/>
        <w:jc w:val="both"/>
        <w:textAlignment w:val="auto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360" w:firstLineChars="150"/>
        <w:jc w:val="center"/>
        <w:textAlignment w:val="auto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729605" cy="5093335"/>
            <wp:effectExtent l="0" t="0" r="635" b="12065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509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pto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Рисунок 9. Контроль платежей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20" w:firstLineChars="150"/>
        <w:jc w:val="both"/>
        <w:textAlignment w:val="auto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Аналитические отчёты: Панель аналитики отображает ключевые метрики (всего договоров, активных, просроченных, общая сумма портфеля, задолженность). Графики обновляются в реальном времени при изменении данных в БД.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360" w:firstLineChars="150"/>
        <w:jc w:val="center"/>
        <w:textAlignment w:val="auto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727065" cy="4422775"/>
            <wp:effectExtent l="0" t="0" r="3175" b="12065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442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ptos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Рисунок 10. Аналитика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3.1.5 Сообщения оператору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«Авторизация успешна» — успешный вход.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«Неверный логин или пароль» — ошибка входа.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«Договор успешно создан» — регистрация договора.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«Ошибка: сумма должна быть положительным числом» — валидация входных данных.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«Платёж отмечен как выполненный» — подтверждение оплаты.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«Внимание: договор истекает через 7 дней» — предстоящее событие.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«Ошибка: просроченный платёж на 15 дней» — предупреждение.</w:t>
      </w:r>
    </w:p>
    <w:p>
      <w:pPr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br w:type="page"/>
      </w:r>
    </w:p>
    <w:p>
      <w:pPr>
        <w:spacing w:after="0" w:line="240" w:lineRule="auto"/>
        <w:ind w:firstLine="567"/>
        <w:contextualSpacing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4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.</w:t>
      </w:r>
      <w:r>
        <w:rPr>
          <w:rFonts w:hint="default" w:ascii="Times New Roman" w:hAnsi="Times New Roman" w:eastAsia="Aptos" w:cs="Times New Roman"/>
          <w:sz w:val="28"/>
          <w:szCs w:val="28"/>
        </w:rPr>
        <w:t xml:space="preserve"> ЭКОНОМИЧЕСКАЯ ЭФФЕКТИВНОСТЬ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4.1 Экономический расчёт</w:t>
      </w:r>
    </w:p>
    <w:p>
      <w:pPr>
        <w:spacing w:after="0" w:line="240" w:lineRule="auto"/>
        <w:ind w:firstLine="567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4.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2.</w:t>
      </w:r>
      <w:r>
        <w:rPr>
          <w:rFonts w:hint="default" w:ascii="Times New Roman" w:hAnsi="Times New Roman" w:eastAsia="Aptos" w:cs="Times New Roman"/>
          <w:sz w:val="28"/>
          <w:szCs w:val="28"/>
        </w:rPr>
        <w:t xml:space="preserve"> Выбор и обоснование методики расчета экономической эффективностиОценка экономической эффективности внедрения информационной системы (ИС) «Asklepka» производится на основе сопоставления стоимостных показателей существующего варианта обработки данных (базовый вариант) и предлагаемого автоматизированного варианта (проектируемый вариант).В качестве основного метода используется расчет срока окупаемости капитальных вложений и коэффициента экономической эффективности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Aptos" w:cs="Times New Roman"/>
          <w:sz w:val="28"/>
          <w:szCs w:val="28"/>
        </w:rPr>
        <w:t>[15, с. 85]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Методика расчета включает следующие этапы:</w:t>
      </w:r>
    </w:p>
    <w:p>
      <w:pPr>
        <w:pStyle w:val="13"/>
        <w:numPr>
          <w:ilvl w:val="0"/>
          <w:numId w:val="5"/>
        </w:numPr>
        <w:spacing w:after="0" w:line="240" w:lineRule="auto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Расчет капитальных вложений в разработку и внедрение системы (K</w:t>
      </w:r>
      <w:r>
        <w:rPr>
          <w:rFonts w:hint="default" w:ascii="Times New Roman" w:hAnsi="Times New Roman" w:eastAsia="Aptos" w:cs="Times New Roman"/>
          <w:sz w:val="22"/>
          <w:szCs w:val="22"/>
        </w:rPr>
        <w:t>p</w:t>
      </w:r>
      <w:r>
        <w:rPr>
          <w:rFonts w:hint="default" w:ascii="Times New Roman" w:hAnsi="Times New Roman" w:eastAsia="Aptos" w:cs="Times New Roman"/>
          <w:sz w:val="28"/>
          <w:szCs w:val="28"/>
        </w:rPr>
        <w:t>).</w:t>
      </w:r>
    </w:p>
    <w:p>
      <w:pPr>
        <w:pStyle w:val="13"/>
        <w:numPr>
          <w:ilvl w:val="0"/>
          <w:numId w:val="5"/>
        </w:numPr>
        <w:spacing w:after="0" w:line="240" w:lineRule="auto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Расчет эксплуатационных расходов по базовому (C</w:t>
      </w:r>
      <w:r>
        <w:rPr>
          <w:rFonts w:hint="default" w:ascii="Times New Roman" w:hAnsi="Times New Roman" w:eastAsia="Aptos" w:cs="Times New Roman"/>
          <w:sz w:val="22"/>
          <w:szCs w:val="22"/>
        </w:rPr>
        <w:t>0</w:t>
      </w:r>
      <w:r>
        <w:rPr>
          <w:rFonts w:hint="default" w:ascii="Times New Roman" w:hAnsi="Times New Roman" w:eastAsia="Aptos" w:cs="Times New Roman"/>
          <w:sz w:val="28"/>
          <w:szCs w:val="28"/>
        </w:rPr>
        <w:t>) и проектируемому (C</w:t>
      </w:r>
      <w:r>
        <w:rPr>
          <w:rFonts w:hint="default" w:ascii="Times New Roman" w:hAnsi="Times New Roman" w:eastAsia="Aptos" w:cs="Times New Roman"/>
          <w:sz w:val="22"/>
          <w:szCs w:val="22"/>
        </w:rPr>
        <w:t>1</w:t>
      </w:r>
      <w:r>
        <w:rPr>
          <w:rFonts w:hint="default" w:ascii="Times New Roman" w:hAnsi="Times New Roman" w:eastAsia="Aptos" w:cs="Times New Roman"/>
          <w:sz w:val="28"/>
          <w:szCs w:val="28"/>
        </w:rPr>
        <w:t>) вариантам.</w:t>
      </w:r>
    </w:p>
    <w:p>
      <w:pPr>
        <w:pStyle w:val="13"/>
        <w:numPr>
          <w:ilvl w:val="0"/>
          <w:numId w:val="5"/>
        </w:numPr>
        <w:spacing w:after="0" w:line="240" w:lineRule="auto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Определение годовой экономии средств (Э</w:t>
      </w:r>
      <w:r>
        <w:rPr>
          <w:rFonts w:hint="default" w:ascii="Times New Roman" w:hAnsi="Times New Roman" w:eastAsia="Aptos" w:cs="Times New Roman"/>
          <w:sz w:val="22"/>
          <w:szCs w:val="22"/>
        </w:rPr>
        <w:t>год</w:t>
      </w:r>
      <w:r>
        <w:rPr>
          <w:rFonts w:hint="default" w:ascii="Times New Roman" w:hAnsi="Times New Roman" w:eastAsia="Aptos" w:cs="Times New Roman"/>
          <w:sz w:val="28"/>
          <w:szCs w:val="28"/>
        </w:rPr>
        <w:t>).</w:t>
      </w:r>
    </w:p>
    <w:p>
      <w:pPr>
        <w:pStyle w:val="13"/>
        <w:numPr>
          <w:ilvl w:val="0"/>
          <w:numId w:val="5"/>
        </w:numPr>
        <w:spacing w:after="0" w:line="240" w:lineRule="auto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Расчет итоговых показателей эффективности (T</w:t>
      </w:r>
      <w:r>
        <w:rPr>
          <w:rFonts w:hint="default" w:ascii="Times New Roman" w:hAnsi="Times New Roman" w:eastAsia="Aptos" w:cs="Times New Roman"/>
          <w:sz w:val="22"/>
          <w:szCs w:val="22"/>
        </w:rPr>
        <w:t>ok</w:t>
      </w:r>
      <w:r>
        <w:rPr>
          <w:rFonts w:hint="default" w:ascii="Times New Roman" w:hAnsi="Times New Roman" w:eastAsia="Aptos" w:cs="Times New Roman"/>
          <w:sz w:val="28"/>
          <w:szCs w:val="28"/>
        </w:rPr>
        <w:t>, E</w:t>
      </w:r>
      <w:r>
        <w:rPr>
          <w:rFonts w:hint="default" w:ascii="Times New Roman" w:hAnsi="Times New Roman" w:eastAsia="Aptos" w:cs="Times New Roman"/>
          <w:sz w:val="22"/>
          <w:szCs w:val="22"/>
        </w:rPr>
        <w:t>p</w:t>
      </w:r>
      <w:r>
        <w:rPr>
          <w:rFonts w:hint="default" w:ascii="Times New Roman" w:hAnsi="Times New Roman" w:eastAsia="Aptos" w:cs="Times New Roman"/>
          <w:sz w:val="28"/>
          <w:szCs w:val="28"/>
        </w:rPr>
        <w:t>).Основные формулы, используемые в расчетах:1. Трудоемкость разработки (T</w:t>
      </w:r>
      <w:r>
        <w:rPr>
          <w:rFonts w:hint="default" w:ascii="Times New Roman" w:hAnsi="Times New Roman" w:eastAsia="Aptos" w:cs="Times New Roman"/>
          <w:sz w:val="22"/>
          <w:szCs w:val="22"/>
        </w:rPr>
        <w:t>р</w:t>
      </w:r>
      <w:r>
        <w:rPr>
          <w:rFonts w:hint="default" w:ascii="Times New Roman" w:hAnsi="Times New Roman" w:eastAsia="Aptos" w:cs="Times New Roman"/>
          <w:sz w:val="28"/>
          <w:szCs w:val="28"/>
        </w:rPr>
        <w:t>):Определяется как сумма времени, затраченного на все этапы жизненного цикла ПО:</w:t>
      </w:r>
    </w:p>
    <w:p>
      <w:pPr>
        <w:tabs>
          <w:tab w:val="center" w:pos="4693"/>
          <w:tab w:val="left" w:pos="6264"/>
        </w:tabs>
        <w:spacing w:after="0" w:line="240" w:lineRule="auto"/>
        <w:ind w:left="360"/>
        <w:rPr>
          <w:rFonts w:hint="default" w:ascii="Times New Roman" w:hAnsi="Times New Roman" w:eastAsia="Aptos" w:cs="Times New Roman"/>
          <w:sz w:val="32"/>
          <w:szCs w:val="32"/>
        </w:rPr>
      </w:pPr>
      <w:r>
        <w:rPr>
          <w:rFonts w:hint="default" w:ascii="Times New Roman" w:hAnsi="Times New Roman" w:eastAsia="Aptos" w:cs="Times New Roman"/>
          <w:sz w:val="32"/>
          <w:szCs w:val="32"/>
          <w:lang w:val="ru-RU"/>
        </w:rPr>
        <w:tab/>
      </w:r>
      <w:r>
        <w:rPr>
          <w:rFonts w:hint="default" w:ascii="Times New Roman" w:hAnsi="Times New Roman" w:eastAsia="Aptos" w:cs="Times New Roman"/>
          <w:sz w:val="32"/>
          <w:szCs w:val="32"/>
        </w:rPr>
        <w:t xml:space="preserve"> </w:t>
      </w: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"/>
        <w:gridCol w:w="2961"/>
        <w:gridCol w:w="26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rPr>
                <w:rFonts w:hint="default" w:ascii="Times New Roman" w:hAnsi="Times New Roman" w:eastAsia="Aptos" w:cs="Times New Roman"/>
                <w:sz w:val="32"/>
                <w:szCs w:val="32"/>
              </w:rPr>
            </w:pPr>
          </w:p>
        </w:tc>
        <w:tc>
          <w:tcPr>
            <w:tcW w:w="2961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T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p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 xml:space="preserve"> = </w:t>
            </w:r>
            <m:oMath>
              <m:nary>
                <m:naryPr>
                  <m:chr m:val="∑"/>
                  <m:grow m:val="1"/>
                  <m:limLoc m:val="undOvr"/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  <m:t>i</m:t>
                  </m:r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=1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n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DejaVu Math TeX Gyre" w:hAnsi="DejaVu Math TeX Gyre" w:eastAsia="Aptos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eastAsia="Aptos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  <m:ctrlPr>
                        <w:rPr>
                          <w:rFonts w:hint="default" w:ascii="DejaVu Math TeX Gyre" w:hAnsi="DejaVu Math TeX Gyre" w:eastAsia="Aptos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eastAsia="Aptos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ctrlPr>
                        <w:rPr>
                          <w:rFonts w:hint="default" w:ascii="DejaVu Math TeX Gyre" w:hAnsi="DejaVu Math TeX Gyre" w:eastAsia="Aptos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nary>
            </m:oMath>
          </w:p>
        </w:tc>
        <w:tc>
          <w:tcPr>
            <w:tcW w:w="2616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(1)</w:t>
            </w:r>
          </w:p>
        </w:tc>
      </w:tr>
    </w:tbl>
    <w:p>
      <w:pPr>
        <w:spacing w:after="0" w:line="240" w:lineRule="auto"/>
        <w:rPr>
          <w:rFonts w:hint="default" w:ascii="Times New Roman" w:hAnsi="Times New Roman" w:eastAsia="Aptos" w:cs="Times New Roman"/>
          <w:sz w:val="28"/>
          <w:szCs w:val="28"/>
          <w:lang w:val="en-US"/>
        </w:rPr>
      </w:pPr>
    </w:p>
    <w:p>
      <w:pPr>
        <w:spacing w:after="0" w:line="240" w:lineRule="auto"/>
        <w:ind w:left="360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где ti - время, затраченное на i-й этап (ТЗ, проектирование, кодирование, тестирование).</w:t>
      </w:r>
    </w:p>
    <w:p>
      <w:pPr>
        <w:spacing w:after="0" w:line="240" w:lineRule="auto"/>
        <w:ind w:left="360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Основная заработная плата разработчика (ЗП</w:t>
      </w:r>
      <w:r>
        <w:rPr>
          <w:rFonts w:hint="default" w:ascii="Times New Roman" w:hAnsi="Times New Roman" w:eastAsia="Aptos" w:cs="Times New Roman"/>
          <w:sz w:val="22"/>
          <w:szCs w:val="22"/>
        </w:rPr>
        <w:t>осн</w:t>
      </w:r>
      <w:r>
        <w:rPr>
          <w:rFonts w:hint="default" w:ascii="Times New Roman" w:hAnsi="Times New Roman" w:eastAsia="Aptos" w:cs="Times New Roman"/>
          <w:sz w:val="28"/>
          <w:szCs w:val="28"/>
        </w:rPr>
        <w:t>) рассчитывается по формуле:</w:t>
      </w:r>
    </w:p>
    <w:p>
      <w:pPr>
        <w:spacing w:after="0" w:line="240" w:lineRule="auto"/>
        <w:ind w:left="360"/>
        <w:rPr>
          <w:rFonts w:hint="default" w:ascii="Times New Roman" w:hAnsi="Times New Roman" w:eastAsia="Aptos" w:cs="Times New Roman"/>
          <w:sz w:val="28"/>
          <w:szCs w:val="28"/>
        </w:rPr>
      </w:pPr>
    </w:p>
    <w:tbl>
      <w:tblPr>
        <w:tblStyle w:val="12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1"/>
        <w:gridCol w:w="285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1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  <m:t>зп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  <m:t>осн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= </w:t>
            </w: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  <m:t>S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  <m:t xml:space="preserve">дн 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DejaVu Math TeX Gyre" w:hAnsi="DejaVu Math TeX Gyre" w:eastAsia="Aptos" w:cs="Times New Roman"/>
                  <w:sz w:val="28"/>
                  <w:szCs w:val="28"/>
                </w:rPr>
                <m:t>×</m:t>
              </m:r>
              <m:r>
                <m:rPr/>
                <w:rPr>
                  <w:rFonts w:hint="default" w:ascii="DejaVu Math TeX Gyre" w:hAnsi="DejaVu Math TeX Gyre" w:eastAsia="Aptos" w:cs="Times New Roman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  <m:t>p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ru-RU"/>
                    </w:rPr>
                  </m:ctrlPr>
                </m:sub>
              </m:sSub>
            </m:oMath>
          </w:p>
        </w:tc>
        <w:tc>
          <w:tcPr>
            <w:tcW w:w="2854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(2)</w:t>
            </w:r>
          </w:p>
        </w:tc>
      </w:tr>
    </w:tbl>
    <w:p>
      <w:pPr>
        <w:spacing w:after="0" w:line="240" w:lineRule="auto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где S</w:t>
      </w:r>
      <w:r>
        <w:rPr>
          <w:rFonts w:hint="default" w:ascii="Times New Roman" w:hAnsi="Times New Roman" w:eastAsia="Aptos" w:cs="Times New Roman"/>
          <w:sz w:val="22"/>
          <w:szCs w:val="22"/>
        </w:rPr>
        <w:t>дн</w:t>
      </w:r>
      <w:r>
        <w:rPr>
          <w:rFonts w:hint="default" w:ascii="Times New Roman" w:hAnsi="Times New Roman" w:eastAsia="Aptos" w:cs="Times New Roman"/>
          <w:sz w:val="28"/>
          <w:szCs w:val="28"/>
        </w:rPr>
        <w:t xml:space="preserve"> - среднедневная ставка специалиста.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Годовой экономический эффект (Э</w:t>
      </w:r>
      <w:r>
        <w:rPr>
          <w:rFonts w:hint="default" w:ascii="Times New Roman" w:hAnsi="Times New Roman" w:eastAsia="Aptos" w:cs="Times New Roman"/>
          <w:sz w:val="22"/>
          <w:szCs w:val="22"/>
        </w:rPr>
        <w:t>год</w:t>
      </w:r>
      <w:r>
        <w:rPr>
          <w:rFonts w:hint="default" w:ascii="Times New Roman" w:hAnsi="Times New Roman" w:eastAsia="Aptos" w:cs="Times New Roman"/>
          <w:sz w:val="28"/>
          <w:szCs w:val="28"/>
        </w:rPr>
        <w:t>) рассчитывается как разница между годовыми затратами до и после автоматизации: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tbl>
      <w:tblPr>
        <w:tblStyle w:val="12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1"/>
        <w:gridCol w:w="285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1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ru-RU"/>
                    </w:rPr>
                    <m:t>Э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г</m:t>
                  </m:r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ru-RU"/>
                    </w:rPr>
                    <m:t>од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= </w:t>
            </w:r>
            <m:oMath>
              <m:r>
                <m:rPr/>
                <w:rPr>
                  <w:rFonts w:hint="default" w:ascii="DejaVu Math TeX Gyre" w:hAnsi="DejaVu Math TeX Gyre" w:eastAsia="Aptos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С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  <m:t>0 −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Aptos" w:cs="Times New Roman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ru-RU"/>
                    </w:rPr>
                    <m:t>С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ru-RU"/>
                    </w:rPr>
                    <m:t>1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ru-RU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2854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(3)</w:t>
            </w:r>
          </w:p>
        </w:tc>
      </w:tr>
    </w:tbl>
    <w:p>
      <w:pPr>
        <w:spacing w:after="0" w:line="240" w:lineRule="auto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где: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m:oMath>
        <m:sSub>
          <m:sSubPr>
            <m:ctrlPr>
              <w:rPr>
                <w:rFonts w:hint="default" w:ascii="DejaVu Math TeX Gyre" w:hAnsi="DejaVu Math TeX Gyre" w:eastAsia="Aptos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m:rPr/>
              <w:rPr>
                <w:rFonts w:hint="default" w:ascii="DejaVu Math TeX Gyre" w:hAnsi="DejaVu Math TeX Gyre" w:eastAsia="Aptos" w:cs="Times New Roman"/>
                <w:sz w:val="32"/>
                <w:szCs w:val="32"/>
                <w:lang w:val="ru-RU"/>
              </w:rPr>
              <m:t>С</m:t>
            </m:r>
            <m:ctrlPr>
              <w:rPr>
                <w:rFonts w:hint="default" w:ascii="DejaVu Math TeX Gyre" w:hAnsi="DejaVu Math TeX Gyre" w:eastAsia="Aptos" w:cs="Times New Roman"/>
                <w:i/>
                <w:sz w:val="32"/>
                <w:szCs w:val="32"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 w:eastAsia="Aptos" w:cs="Times New Roman"/>
                <w:sz w:val="32"/>
                <w:szCs w:val="32"/>
              </w:rPr>
              <m:t xml:space="preserve">0 </m:t>
            </m:r>
            <m:ctrlPr>
              <w:rPr>
                <w:rFonts w:hint="default" w:ascii="DejaVu Math TeX Gyre" w:hAnsi="DejaVu Math TeX Gyre" w:eastAsia="Aptos" w:cs="Times New Roman"/>
                <w:i/>
                <w:sz w:val="32"/>
                <w:szCs w:val="32"/>
                <w:lang w:val="en-US"/>
              </w:rPr>
            </m:ctrlPr>
          </m:sub>
        </m:sSub>
      </m:oMath>
      <w:r>
        <w:rPr>
          <w:rFonts w:hint="default" w:ascii="Times New Roman" w:hAnsi="Times New Roman" w:eastAsia="Aptos" w:cs="Times New Roman"/>
          <w:sz w:val="28"/>
          <w:szCs w:val="28"/>
        </w:rPr>
        <w:t>- текущие ежемесячные эксплуатационные расходы;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m:oMath>
        <m:sSub>
          <m:sSubPr>
            <m:ctrlPr>
              <w:rPr>
                <w:rFonts w:hint="default" w:ascii="DejaVu Math TeX Gyre" w:hAnsi="DejaVu Math TeX Gyre" w:eastAsia="Aptos" w:cs="Times New Roman"/>
                <w:i/>
                <w:sz w:val="32"/>
                <w:szCs w:val="32"/>
                <w:lang w:val="ru-RU"/>
              </w:rPr>
            </m:ctrlPr>
          </m:sSubPr>
          <m:e>
            <m:r>
              <m:rPr/>
              <w:rPr>
                <w:rFonts w:hint="default" w:ascii="DejaVu Math TeX Gyre" w:hAnsi="DejaVu Math TeX Gyre" w:eastAsia="Aptos" w:cs="Times New Roman"/>
                <w:sz w:val="32"/>
                <w:szCs w:val="32"/>
                <w:lang w:val="ru-RU"/>
              </w:rPr>
              <m:t>С</m:t>
            </m:r>
            <m:ctrlPr>
              <w:rPr>
                <w:rFonts w:hint="default" w:ascii="DejaVu Math TeX Gyre" w:hAnsi="DejaVu Math TeX Gyre" w:eastAsia="Aptos" w:cs="Times New Roman"/>
                <w:i/>
                <w:sz w:val="32"/>
                <w:szCs w:val="32"/>
                <w:lang w:val="ru-RU"/>
              </w:rPr>
            </m:ctrlPr>
          </m:e>
          <m:sub>
            <m:r>
              <m:rPr/>
              <w:rPr>
                <w:rFonts w:hint="default" w:ascii="DejaVu Math TeX Gyre" w:hAnsi="DejaVu Math TeX Gyre" w:eastAsia="Aptos" w:cs="Times New Roman"/>
                <w:sz w:val="32"/>
                <w:szCs w:val="32"/>
                <w:lang w:val="ru-RU"/>
              </w:rPr>
              <m:t>1</m:t>
            </m:r>
            <m:ctrlPr>
              <w:rPr>
                <w:rFonts w:hint="default" w:ascii="DejaVu Math TeX Gyre" w:hAnsi="DejaVu Math TeX Gyre" w:eastAsia="Aptos" w:cs="Times New Roman"/>
                <w:i/>
                <w:sz w:val="32"/>
                <w:szCs w:val="32"/>
                <w:lang w:val="ru-RU"/>
              </w:rPr>
            </m:ctrlPr>
          </m:sub>
        </m:sSub>
        <m:r>
          <m:rPr/>
          <w:rPr>
            <w:rFonts w:hint="default" w:ascii="DejaVu Math TeX Gyre" w:hAnsi="DejaVu Math TeX Gyre" w:eastAsia="Aptos" w:cs="Times New Roman"/>
            <w:sz w:val="32"/>
            <w:szCs w:val="32"/>
            <w:lang w:val="ru-RU"/>
          </w:rPr>
          <m:t xml:space="preserve"> </m:t>
        </m:r>
      </m:oMath>
      <w:r>
        <w:rPr>
          <w:rFonts w:hint="default" w:ascii="Times New Roman" w:hAnsi="Times New Roman" w:eastAsia="Aptos" w:cs="Times New Roman"/>
          <w:sz w:val="32"/>
          <w:szCs w:val="32"/>
          <w:lang w:val="ru-RU"/>
        </w:rPr>
        <w:t xml:space="preserve">- </w:t>
      </w:r>
      <w:r>
        <w:rPr>
          <w:rFonts w:hint="default" w:ascii="Times New Roman" w:hAnsi="Times New Roman" w:eastAsia="Aptos" w:cs="Times New Roman"/>
          <w:sz w:val="28"/>
          <w:szCs w:val="28"/>
        </w:rPr>
        <w:t>будущие ежемесячные эксплуатационные расходы.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Срок окупаемости (T</w:t>
      </w:r>
      <w:r>
        <w:rPr>
          <w:rFonts w:hint="default" w:ascii="Times New Roman" w:hAnsi="Times New Roman" w:eastAsia="Aptos" w:cs="Times New Roman"/>
          <w:sz w:val="22"/>
          <w:szCs w:val="22"/>
        </w:rPr>
        <w:t>ok</w:t>
      </w:r>
      <w:r>
        <w:rPr>
          <w:rFonts w:hint="default" w:ascii="Times New Roman" w:hAnsi="Times New Roman" w:eastAsia="Aptos" w:cs="Times New Roman"/>
          <w:sz w:val="28"/>
          <w:szCs w:val="28"/>
        </w:rPr>
        <w:t xml:space="preserve">) - показатель, определяющий период времени в месяцах, за который экономия от использования системы покроет затраты на ее создание: 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tbl>
      <w:tblPr>
        <w:tblStyle w:val="12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1"/>
        <w:gridCol w:w="285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1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T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  <m:t>ok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 w:eastAsia="Aptos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eastAsia="Aptos" w:cs="Times New Roman"/>
                          <w:sz w:val="28"/>
                          <w:szCs w:val="28"/>
                        </w:rPr>
                        <m:t>K</m:t>
                      </m:r>
                      <m:ctrlPr>
                        <w:rPr>
                          <w:rFonts w:hint="default" w:ascii="DejaVu Math TeX Gyre" w:hAnsi="DejaVu Math TeX Gyre" w:eastAsia="Aptos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eastAsia="Aptos" w:cs="Times New Roman"/>
                          <w:sz w:val="28"/>
                          <w:szCs w:val="28"/>
                        </w:rPr>
                        <m:t>p</m:t>
                      </m:r>
                      <m:ctrlPr>
                        <w:rPr>
                          <w:rFonts w:hint="default" w:ascii="DejaVu Math TeX Gyre" w:hAnsi="DejaVu Math TeX Gyre" w:eastAsia="Aptos" w:cs="Times New Roman"/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  <m:t>∆</m:t>
                  </m:r>
                  <m:sSub>
                    <m:sSubPr>
                      <m:ctrlPr>
                        <w:rPr>
                          <w:rFonts w:hint="default" w:ascii="DejaVu Math TeX Gyre" w:hAnsi="DejaVu Math TeX Gyre" w:eastAsia="Aptos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eastAsia="Aptos" w:cs="Times New Roman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default" w:ascii="DejaVu Math TeX Gyre" w:hAnsi="DejaVu Math TeX Gyre" w:eastAsia="Aptos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eastAsia="Aptos" w:cs="Times New Roman"/>
                          <w:sz w:val="28"/>
                          <w:szCs w:val="28"/>
                          <w:lang w:val="ru-RU"/>
                        </w:rPr>
                        <m:t>мес</m:t>
                      </m:r>
                      <m:ctrlPr>
                        <w:rPr>
                          <w:rFonts w:hint="default" w:ascii="DejaVu Math TeX Gyre" w:hAnsi="DejaVu Math TeX Gyre" w:eastAsia="Aptos" w:cs="Times New Roman"/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</m:ctrlPr>
                </m:den>
              </m:f>
            </m:oMath>
          </w:p>
        </w:tc>
        <w:tc>
          <w:tcPr>
            <w:tcW w:w="2854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(4)</w:t>
            </w:r>
          </w:p>
        </w:tc>
      </w:tr>
    </w:tbl>
    <w:p>
      <w:pPr>
        <w:spacing w:after="0" w:line="240" w:lineRule="auto"/>
        <w:jc w:val="both"/>
        <w:rPr>
          <w:rFonts w:hint="default" w:ascii="Times New Roman" w:hAnsi="Times New Roman" w:eastAsia="Aptos" w:cs="Times New Roman"/>
          <w:sz w:val="32"/>
          <w:szCs w:val="32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где: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m:oMath>
        <m:sSub>
          <m:sSubPr>
            <m:ctrlPr>
              <w:rPr>
                <w:rFonts w:hint="default" w:ascii="DejaVu Math TeX Gyre" w:hAnsi="DejaVu Math TeX Gyre" w:eastAsia="Aptos" w:cs="Times New Roman"/>
                <w:i/>
                <w:sz w:val="32"/>
                <w:szCs w:val="32"/>
              </w:rPr>
            </m:ctrlPr>
          </m:sSubPr>
          <m:e>
            <m:r>
              <m:rPr/>
              <w:rPr>
                <w:rFonts w:hint="default" w:ascii="DejaVu Math TeX Gyre" w:hAnsi="DejaVu Math TeX Gyre" w:eastAsia="Aptos" w:cs="Times New Roman"/>
                <w:sz w:val="32"/>
                <w:szCs w:val="32"/>
              </w:rPr>
              <m:t>K</m:t>
            </m:r>
            <m:ctrlPr>
              <w:rPr>
                <w:rFonts w:hint="default" w:ascii="DejaVu Math TeX Gyre" w:hAnsi="DejaVu Math TeX Gyre" w:eastAsia="Aptos" w:cs="Times New Roman"/>
                <w:i/>
                <w:sz w:val="32"/>
                <w:szCs w:val="32"/>
              </w:rPr>
            </m:ctrlPr>
          </m:e>
          <m:sub>
            <m:r>
              <m:rPr/>
              <w:rPr>
                <w:rFonts w:hint="default" w:ascii="DejaVu Math TeX Gyre" w:hAnsi="DejaVu Math TeX Gyre" w:eastAsia="Aptos" w:cs="Times New Roman"/>
                <w:sz w:val="32"/>
                <w:szCs w:val="32"/>
              </w:rPr>
              <m:t>p</m:t>
            </m:r>
            <m:ctrlPr>
              <w:rPr>
                <w:rFonts w:hint="default" w:ascii="DejaVu Math TeX Gyre" w:hAnsi="DejaVu Math TeX Gyre" w:eastAsia="Aptos" w:cs="Times New Roman"/>
                <w:i/>
                <w:sz w:val="32"/>
                <w:szCs w:val="32"/>
              </w:rPr>
            </m:ctrlPr>
          </m:sub>
        </m:sSub>
      </m:oMath>
      <w:r>
        <w:rPr>
          <w:rFonts w:hint="default" w:ascii="Times New Roman" w:hAnsi="Times New Roman" w:eastAsia="Aptos" w:cs="Times New Roman"/>
          <w:sz w:val="28"/>
          <w:szCs w:val="28"/>
        </w:rPr>
        <w:t xml:space="preserve"> - капитальные вложения (сметная стоимость разработки);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m:oMath>
        <m:r>
          <m:rPr/>
          <w:rPr>
            <w:rFonts w:hint="default" w:ascii="DejaVu Math TeX Gyre" w:hAnsi="DejaVu Math TeX Gyre" w:eastAsia="Aptos" w:cs="Times New Roman"/>
            <w:sz w:val="32"/>
            <w:szCs w:val="32"/>
          </w:rPr>
          <m:t>∆</m:t>
        </m:r>
        <m:sSub>
          <m:sSubPr>
            <m:ctrlPr>
              <w:rPr>
                <w:rFonts w:hint="default" w:ascii="DejaVu Math TeX Gyre" w:hAnsi="DejaVu Math TeX Gyre" w:eastAsia="Aptos" w:cs="Times New Roman"/>
                <w:i/>
                <w:sz w:val="32"/>
                <w:szCs w:val="32"/>
              </w:rPr>
            </m:ctrlPr>
          </m:sSubPr>
          <m:e>
            <m:r>
              <m:rPr/>
              <w:rPr>
                <w:rFonts w:hint="default" w:ascii="DejaVu Math TeX Gyre" w:hAnsi="DejaVu Math TeX Gyre" w:eastAsia="Aptos" w:cs="Times New Roman"/>
                <w:sz w:val="32"/>
                <w:szCs w:val="32"/>
              </w:rPr>
              <m:t>C</m:t>
            </m:r>
            <m:ctrlPr>
              <w:rPr>
                <w:rFonts w:hint="default" w:ascii="DejaVu Math TeX Gyre" w:hAnsi="DejaVu Math TeX Gyre" w:eastAsia="Aptos" w:cs="Times New Roman"/>
                <w:i/>
                <w:sz w:val="32"/>
                <w:szCs w:val="32"/>
              </w:rPr>
            </m:ctrlPr>
          </m:e>
          <m:sub>
            <m:r>
              <m:rPr/>
              <w:rPr>
                <w:rFonts w:hint="default" w:ascii="DejaVu Math TeX Gyre" w:hAnsi="DejaVu Math TeX Gyre" w:eastAsia="Aptos" w:cs="Times New Roman"/>
                <w:sz w:val="32"/>
                <w:szCs w:val="32"/>
                <w:lang w:val="ru-RU"/>
              </w:rPr>
              <m:t>мес</m:t>
            </m:r>
            <m:ctrlPr>
              <w:rPr>
                <w:rFonts w:hint="default" w:ascii="DejaVu Math TeX Gyre" w:hAnsi="DejaVu Math TeX Gyre" w:eastAsia="Aptos" w:cs="Times New Roman"/>
                <w:i/>
                <w:sz w:val="32"/>
                <w:szCs w:val="32"/>
              </w:rPr>
            </m:ctrlPr>
          </m:sub>
        </m:sSub>
      </m:oMath>
      <w:r>
        <w:rPr>
          <w:rFonts w:hint="default" w:ascii="Times New Roman" w:hAnsi="Times New Roman" w:eastAsia="Aptos" w:cs="Times New Roman"/>
          <w:sz w:val="28"/>
          <w:szCs w:val="28"/>
        </w:rPr>
        <w:t xml:space="preserve"> - ежемесячная экономия </w:t>
      </w:r>
      <m:oMath>
        <m:sSub>
          <m:sSubPr>
            <m:ctrlPr>
              <w:rPr>
                <w:rFonts w:hint="default" w:ascii="DejaVu Math TeX Gyre" w:hAnsi="DejaVu Math TeX Gyre" w:eastAsia="Aptos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m:rPr/>
              <w:rPr>
                <w:rFonts w:hint="default" w:ascii="DejaVu Math TeX Gyre" w:hAnsi="DejaVu Math TeX Gyre" w:eastAsia="Aptos" w:cs="Times New Roman"/>
                <w:sz w:val="32"/>
                <w:szCs w:val="32"/>
                <w:lang w:val="ru-RU"/>
              </w:rPr>
              <m:t>С</m:t>
            </m:r>
            <m:ctrlPr>
              <w:rPr>
                <w:rFonts w:hint="default" w:ascii="DejaVu Math TeX Gyre" w:hAnsi="DejaVu Math TeX Gyre" w:eastAsia="Aptos" w:cs="Times New Roman"/>
                <w:i/>
                <w:sz w:val="32"/>
                <w:szCs w:val="32"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 w:eastAsia="Aptos" w:cs="Times New Roman"/>
                <w:sz w:val="32"/>
                <w:szCs w:val="32"/>
              </w:rPr>
              <m:t>0 −</m:t>
            </m:r>
            <m:ctrlPr>
              <w:rPr>
                <w:rFonts w:hint="default" w:ascii="DejaVu Math TeX Gyre" w:hAnsi="DejaVu Math TeX Gyre" w:eastAsia="Aptos" w:cs="Times New Roman"/>
                <w:i/>
                <w:sz w:val="32"/>
                <w:szCs w:val="32"/>
                <w:lang w:val="en-US"/>
              </w:rPr>
            </m:ctrlPr>
          </m:sub>
        </m:sSub>
        <m:r>
          <m:rPr/>
          <w:rPr>
            <w:rFonts w:hint="default" w:ascii="DejaVu Math TeX Gyre" w:hAnsi="DejaVu Math TeX Gyre" w:eastAsia="Aptos" w:cs="Times New Roman"/>
            <w:sz w:val="32"/>
            <w:szCs w:val="32"/>
          </w:rPr>
          <m:t xml:space="preserve"> </m:t>
        </m:r>
        <m:sSub>
          <m:sSubPr>
            <m:ctrlPr>
              <w:rPr>
                <w:rFonts w:hint="default" w:ascii="DejaVu Math TeX Gyre" w:hAnsi="DejaVu Math TeX Gyre" w:eastAsia="Aptos" w:cs="Times New Roman"/>
                <w:i/>
                <w:sz w:val="32"/>
                <w:szCs w:val="32"/>
                <w:lang w:val="ru-RU"/>
              </w:rPr>
            </m:ctrlPr>
          </m:sSubPr>
          <m:e>
            <m:r>
              <m:rPr/>
              <w:rPr>
                <w:rFonts w:hint="default" w:ascii="DejaVu Math TeX Gyre" w:hAnsi="DejaVu Math TeX Gyre" w:eastAsia="Aptos" w:cs="Times New Roman"/>
                <w:sz w:val="32"/>
                <w:szCs w:val="32"/>
                <w:lang w:val="ru-RU"/>
              </w:rPr>
              <m:t>С</m:t>
            </m:r>
            <m:ctrlPr>
              <w:rPr>
                <w:rFonts w:hint="default" w:ascii="DejaVu Math TeX Gyre" w:hAnsi="DejaVu Math TeX Gyre" w:eastAsia="Aptos" w:cs="Times New Roman"/>
                <w:i/>
                <w:sz w:val="32"/>
                <w:szCs w:val="32"/>
                <w:lang w:val="ru-RU"/>
              </w:rPr>
            </m:ctrlPr>
          </m:e>
          <m:sub>
            <m:r>
              <m:rPr/>
              <w:rPr>
                <w:rFonts w:hint="default" w:ascii="DejaVu Math TeX Gyre" w:hAnsi="DejaVu Math TeX Gyre" w:eastAsia="Aptos" w:cs="Times New Roman"/>
                <w:sz w:val="32"/>
                <w:szCs w:val="32"/>
                <w:lang w:val="ru-RU"/>
              </w:rPr>
              <m:t>1</m:t>
            </m:r>
            <m:ctrlPr>
              <w:rPr>
                <w:rFonts w:hint="default" w:ascii="DejaVu Math TeX Gyre" w:hAnsi="DejaVu Math TeX Gyre" w:eastAsia="Aptos" w:cs="Times New Roman"/>
                <w:i/>
                <w:sz w:val="32"/>
                <w:szCs w:val="32"/>
                <w:lang w:val="ru-RU"/>
              </w:rPr>
            </m:ctrlPr>
          </m:sub>
        </m:sSub>
      </m:oMath>
      <w:r>
        <w:rPr>
          <w:rFonts w:hint="default" w:ascii="Times New Roman" w:hAnsi="Times New Roman" w:eastAsia="Aptos" w:cs="Times New Roman"/>
          <w:sz w:val="28"/>
          <w:szCs w:val="28"/>
        </w:rPr>
        <w:t>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Коэффициент экономической эффективности (E</w:t>
      </w:r>
      <w:r>
        <w:rPr>
          <w:rFonts w:hint="default" w:ascii="Times New Roman" w:hAnsi="Times New Roman" w:eastAsia="Aptos" w:cs="Times New Roman"/>
          <w:sz w:val="22"/>
          <w:szCs w:val="22"/>
        </w:rPr>
        <w:t>p</w:t>
      </w:r>
      <w:r>
        <w:rPr>
          <w:rFonts w:hint="default" w:ascii="Times New Roman" w:hAnsi="Times New Roman" w:eastAsia="Aptos" w:cs="Times New Roman"/>
          <w:sz w:val="28"/>
          <w:szCs w:val="28"/>
        </w:rPr>
        <w:t>) - обратная величина срока окупаемости, показывающая эффективность вложений на единицу затрат:</w:t>
      </w:r>
    </w:p>
    <w:p>
      <w:pPr>
        <w:spacing w:after="0" w:line="240" w:lineRule="auto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tbl>
      <w:tblPr>
        <w:tblStyle w:val="12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6"/>
        <w:gridCol w:w="30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3126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E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p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  <m:t>1</m:t>
                  </m:r>
                  <m:ctrl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 w:eastAsia="Aptos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eastAsia="Aptos" w:cs="Times New Roman"/>
                          <w:sz w:val="28"/>
                          <w:szCs w:val="28"/>
                        </w:rPr>
                        <m:t>T</m:t>
                      </m:r>
                      <m:ctrlPr>
                        <w:rPr>
                          <w:rFonts w:hint="default" w:ascii="DejaVu Math TeX Gyre" w:hAnsi="DejaVu Math TeX Gyre" w:eastAsia="Aptos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eastAsia="Aptos" w:cs="Times New Roman"/>
                          <w:sz w:val="28"/>
                          <w:szCs w:val="28"/>
                        </w:rPr>
                        <m:t>ok</m:t>
                      </m:r>
                      <m:ctrlPr>
                        <w:rPr>
                          <w:rFonts w:hint="default" w:ascii="DejaVu Math TeX Gyre" w:hAnsi="DejaVu Math TeX Gyre" w:eastAsia="Aptos" w:cs="Times New Roman"/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</m:ctrlPr>
                </m:den>
              </m:f>
            </m:oMath>
          </w:p>
        </w:tc>
        <w:tc>
          <w:tcPr>
            <w:tcW w:w="3013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(5)</w:t>
            </w:r>
          </w:p>
        </w:tc>
      </w:tr>
    </w:tbl>
    <w:p>
      <w:pPr>
        <w:spacing w:after="0" w:line="240" w:lineRule="auto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4.2.1. Расчет показателей экономической эффективности проекта4.2.1 Расчет капитальных вложений она же сметная стоимость. Капитальные вложения (K</w:t>
      </w:r>
      <w:r>
        <w:rPr>
          <w:rFonts w:hint="default" w:ascii="Times New Roman" w:hAnsi="Times New Roman" w:eastAsia="Aptos" w:cs="Times New Roman"/>
          <w:sz w:val="22"/>
          <w:szCs w:val="22"/>
        </w:rPr>
        <w:t>p</w:t>
      </w:r>
      <w:r>
        <w:rPr>
          <w:rFonts w:hint="default" w:ascii="Times New Roman" w:hAnsi="Times New Roman" w:eastAsia="Aptos" w:cs="Times New Roman"/>
          <w:sz w:val="28"/>
          <w:szCs w:val="28"/>
        </w:rPr>
        <w:t>) представляют собой сумму всех единовременных затрат на создание, отладку и внедрение системы.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1) Расчет материальных затрат (З</w:t>
      </w:r>
      <w:r>
        <w:rPr>
          <w:rFonts w:hint="default" w:ascii="Times New Roman" w:hAnsi="Times New Roman" w:eastAsia="Aptos" w:cs="Times New Roman"/>
          <w:sz w:val="22"/>
          <w:szCs w:val="22"/>
        </w:rPr>
        <w:t>мат</w:t>
      </w:r>
      <w:r>
        <w:rPr>
          <w:rFonts w:hint="default" w:ascii="Times New Roman" w:hAnsi="Times New Roman" w:eastAsia="Aptos" w:cs="Times New Roman"/>
          <w:sz w:val="28"/>
          <w:szCs w:val="28"/>
        </w:rPr>
        <w:t>)Включает расходы на приобретение носителей информации, бумаги для документации и канцелярских принадлежностей.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Таблица 3 - Расчет материальных затрат</w:t>
      </w:r>
    </w:p>
    <w:tbl>
      <w:tblPr>
        <w:tblStyle w:val="12"/>
        <w:tblW w:w="967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1"/>
        <w:gridCol w:w="1914"/>
        <w:gridCol w:w="1910"/>
        <w:gridCol w:w="1911"/>
        <w:gridCol w:w="191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202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Наименование материала</w:t>
            </w:r>
          </w:p>
        </w:tc>
        <w:tc>
          <w:tcPr>
            <w:tcW w:w="1914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Ед. изм.</w:t>
            </w:r>
          </w:p>
        </w:tc>
        <w:tc>
          <w:tcPr>
            <w:tcW w:w="1910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Кол-во</w:t>
            </w:r>
          </w:p>
        </w:tc>
        <w:tc>
          <w:tcPr>
            <w:tcW w:w="191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Цена за ед., тг</w:t>
            </w:r>
          </w:p>
        </w:tc>
        <w:tc>
          <w:tcPr>
            <w:tcW w:w="1916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Сумма, тг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202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Бумага офисная (A4, 80 г/м²)</w:t>
            </w:r>
          </w:p>
        </w:tc>
        <w:tc>
          <w:tcPr>
            <w:tcW w:w="1914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пачка</w:t>
            </w:r>
          </w:p>
        </w:tc>
        <w:tc>
          <w:tcPr>
            <w:tcW w:w="1910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1</w:t>
            </w:r>
          </w:p>
        </w:tc>
        <w:tc>
          <w:tcPr>
            <w:tcW w:w="191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2000</w:t>
            </w:r>
          </w:p>
        </w:tc>
        <w:tc>
          <w:tcPr>
            <w:tcW w:w="1916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2000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202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Накопитель USB Flash 64GB</w:t>
            </w:r>
          </w:p>
        </w:tc>
        <w:tc>
          <w:tcPr>
            <w:tcW w:w="1914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шт.</w:t>
            </w:r>
          </w:p>
        </w:tc>
        <w:tc>
          <w:tcPr>
            <w:tcW w:w="1910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1</w:t>
            </w:r>
          </w:p>
        </w:tc>
        <w:tc>
          <w:tcPr>
            <w:tcW w:w="191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3500</w:t>
            </w:r>
          </w:p>
        </w:tc>
        <w:tc>
          <w:tcPr>
            <w:tcW w:w="1916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3500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202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Канцелярские принадлежности</w:t>
            </w:r>
          </w:p>
        </w:tc>
        <w:tc>
          <w:tcPr>
            <w:tcW w:w="1914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компл.</w:t>
            </w:r>
          </w:p>
        </w:tc>
        <w:tc>
          <w:tcPr>
            <w:tcW w:w="1910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1</w:t>
            </w:r>
          </w:p>
        </w:tc>
        <w:tc>
          <w:tcPr>
            <w:tcW w:w="191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1500</w:t>
            </w:r>
          </w:p>
        </w:tc>
        <w:tc>
          <w:tcPr>
            <w:tcW w:w="1916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1500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202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</w:rPr>
              <w:t>Итого (Змат):</w:t>
            </w: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</w:p>
        </w:tc>
        <w:tc>
          <w:tcPr>
            <w:tcW w:w="1914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</w:p>
        </w:tc>
        <w:tc>
          <w:tcPr>
            <w:tcW w:w="1910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</w:p>
        </w:tc>
        <w:tc>
          <w:tcPr>
            <w:tcW w:w="191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</w:p>
        </w:tc>
        <w:tc>
          <w:tcPr>
            <w:tcW w:w="1916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  <w:r>
              <w:rPr>
                <w:rFonts w:hint="default" w:ascii="Times New Roman" w:hAnsi="Times New Roman" w:eastAsia="Aptos" w:cs="Times New Roman"/>
                <w:lang w:val="en-US" w:eastAsia="zh-CN"/>
              </w:rPr>
              <w:t>7 000</w:t>
            </w:r>
          </w:p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</w:rPr>
            </w:pPr>
          </w:p>
        </w:tc>
      </w:tr>
    </w:tbl>
    <w:p>
      <w:pPr>
        <w:spacing w:after="0" w:line="240" w:lineRule="auto"/>
        <w:ind w:firstLine="567"/>
        <w:jc w:val="center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br w:type="page"/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2) Расчет фонда оплаты труда (ФОТ)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Трудоемкость разработки React/Node.js приложения: 35 рабочих дней (1,75 месяца) — увеличено из-за complexity современного стека. Оклад разработчика full-stack: 300 000 тг/месяц. Рабочих дней в месяце: 21.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Среднедневная ставка (S</w:t>
      </w:r>
      <w:r>
        <w:rPr>
          <w:rFonts w:hint="default" w:ascii="Times New Roman" w:hAnsi="Times New Roman" w:cs="Times New Roman"/>
          <w:sz w:val="22"/>
          <w:szCs w:val="22"/>
        </w:rPr>
        <w:t>дн</w:t>
      </w:r>
      <w:r>
        <w:rPr>
          <w:rFonts w:hint="default" w:ascii="Times New Roman" w:hAnsi="Times New Roman" w:cs="Times New Roman"/>
          <w:sz w:val="28"/>
          <w:szCs w:val="28"/>
        </w:rPr>
        <w:t>):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12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9"/>
        <w:gridCol w:w="21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9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S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д</m:t>
                  </m:r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ru-RU"/>
                    </w:rPr>
                    <m:t>н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300</m:t>
                  </m:r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  <m:t>000</m:t>
                  </m:r>
                  <m:ctrl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  <m:t>21</m:t>
                  </m:r>
                  <m:ctrl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</w:t>
            </w:r>
            <m:oMath>
              <m:r>
                <m:rPr/>
                <w:rPr>
                  <w:rFonts w:hint="default" w:ascii="DejaVu Math TeX Gyre" w:hAnsi="DejaVu Math TeX Gyre" w:eastAsia="Aptos" w:cs="Times New Roman"/>
                  <w:sz w:val="28"/>
                  <w:szCs w:val="28"/>
                </w:rPr>
                <m:t>≈</m:t>
              </m:r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14286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тг.</w:t>
            </w:r>
          </w:p>
        </w:tc>
        <w:tc>
          <w:tcPr>
            <w:tcW w:w="2126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(6)</w:t>
            </w:r>
          </w:p>
        </w:tc>
      </w:tr>
    </w:tbl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Основная заработная плата (ЗП</w:t>
      </w:r>
      <w:r>
        <w:rPr>
          <w:rFonts w:hint="default" w:ascii="Times New Roman" w:hAnsi="Times New Roman" w:eastAsia="Aptos" w:cs="Times New Roman"/>
          <w:sz w:val="22"/>
          <w:szCs w:val="22"/>
        </w:rPr>
        <w:t>осн</w:t>
      </w:r>
      <w:r>
        <w:rPr>
          <w:rFonts w:hint="default" w:ascii="Times New Roman" w:hAnsi="Times New Roman" w:eastAsia="Aptos" w:cs="Times New Roman"/>
          <w:sz w:val="28"/>
          <w:szCs w:val="28"/>
        </w:rPr>
        <w:t>):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tbl>
      <w:tblPr>
        <w:tblStyle w:val="12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1"/>
        <w:gridCol w:w="113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1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З</m:t>
                  </m:r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ru-RU"/>
                    </w:rPr>
                    <m:t>П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ос</m:t>
                  </m:r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ru-RU"/>
                    </w:rPr>
                    <m:t>н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=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14286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×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35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=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500010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тг.</w:t>
            </w:r>
          </w:p>
        </w:tc>
        <w:tc>
          <w:tcPr>
            <w:tcW w:w="1134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(7)</w:t>
            </w:r>
          </w:p>
        </w:tc>
      </w:tr>
    </w:tbl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Учитывая сложность интеграции с фискальным регистратором, предусмотрена премия (P</w:t>
      </w:r>
      <w:r>
        <w:rPr>
          <w:rFonts w:hint="default" w:ascii="Times New Roman" w:hAnsi="Times New Roman" w:eastAsia="Aptos" w:cs="Times New Roman"/>
          <w:sz w:val="22"/>
          <w:szCs w:val="22"/>
        </w:rPr>
        <w:t>прем</w:t>
      </w:r>
      <w:r>
        <w:rPr>
          <w:rFonts w:hint="default" w:ascii="Times New Roman" w:hAnsi="Times New Roman" w:eastAsia="Aptos" w:cs="Times New Roman"/>
          <w:sz w:val="28"/>
          <w:szCs w:val="28"/>
        </w:rPr>
        <w:t>) в размере 20% от оклада: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</w:rPr>
      </w:pPr>
    </w:p>
    <w:tbl>
      <w:tblPr>
        <w:tblStyle w:val="12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3"/>
        <w:gridCol w:w="9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3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P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ru-RU"/>
                    </w:rPr>
                    <m:t>прем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=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 w:eastAsia="zh-CN"/>
              </w:rPr>
              <w:t>500 010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× 0,20 =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100002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тг.</w:t>
            </w:r>
          </w:p>
        </w:tc>
        <w:tc>
          <w:tcPr>
            <w:tcW w:w="992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(8)</w:t>
            </w:r>
          </w:p>
        </w:tc>
      </w:tr>
    </w:tbl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Дополнительная заработная плата (ЗП</w:t>
      </w:r>
      <w:r>
        <w:rPr>
          <w:rFonts w:hint="default" w:ascii="Times New Roman" w:hAnsi="Times New Roman" w:eastAsia="Aptos" w:cs="Times New Roman"/>
          <w:sz w:val="22"/>
          <w:szCs w:val="22"/>
        </w:rPr>
        <w:t>доп</w:t>
      </w:r>
      <w:r>
        <w:rPr>
          <w:rFonts w:hint="default" w:ascii="Times New Roman" w:hAnsi="Times New Roman" w:eastAsia="Aptos" w:cs="Times New Roman"/>
          <w:sz w:val="28"/>
          <w:szCs w:val="28"/>
        </w:rPr>
        <w:t>) - резерв на оплату отпусков (10%):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tbl>
      <w:tblPr>
        <w:tblStyle w:val="12"/>
        <w:tblpPr w:leftFromText="180" w:rightFromText="180" w:vertAnchor="text" w:tblpXSpec="center" w:tblpY="1"/>
        <w:tblOverlap w:val="never"/>
        <w:tblW w:w="58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3"/>
        <w:gridCol w:w="9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3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З</m:t>
                  </m:r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ru-RU"/>
                    </w:rPr>
                    <m:t>П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доп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= (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500010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+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100002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) × 0,10  = =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60001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тг.</w:t>
            </w:r>
          </w:p>
        </w:tc>
        <w:tc>
          <w:tcPr>
            <w:tcW w:w="992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(9)</w:t>
            </w:r>
          </w:p>
        </w:tc>
      </w:tr>
    </w:tbl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Общий фонд оплаты труда: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tbl>
      <w:tblPr>
        <w:tblStyle w:val="12"/>
        <w:tblpPr w:leftFromText="180" w:rightFromText="180" w:vertAnchor="text" w:tblpXSpec="center" w:tblpY="1"/>
        <w:tblOverlap w:val="never"/>
        <w:tblW w:w="58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2"/>
        <w:gridCol w:w="104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3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ФОТ =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500 010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+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100 002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+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60 001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 = =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660 013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тг.</w:t>
            </w:r>
          </w:p>
        </w:tc>
        <w:tc>
          <w:tcPr>
            <w:tcW w:w="992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(10)</w:t>
            </w:r>
          </w:p>
        </w:tc>
      </w:tr>
    </w:tbl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3)Расчет отчислений и налогов (З</w:t>
      </w:r>
      <w:r>
        <w:rPr>
          <w:rFonts w:hint="default" w:ascii="Times New Roman" w:hAnsi="Times New Roman" w:eastAsia="Aptos" w:cs="Times New Roman"/>
          <w:sz w:val="22"/>
          <w:szCs w:val="22"/>
        </w:rPr>
        <w:t>нал</w:t>
      </w:r>
      <w:r>
        <w:rPr>
          <w:rFonts w:hint="default" w:ascii="Times New Roman" w:hAnsi="Times New Roman" w:eastAsia="Aptos" w:cs="Times New Roman"/>
          <w:sz w:val="28"/>
          <w:szCs w:val="28"/>
        </w:rPr>
        <w:t>)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Суммарная эффективная нагрузка на работодателя (Социальный налог, СО, ОСМС, ОПВР) по ставкам 2025 года составляет порядка 10,5% сверх начисленной зарплаты: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</w:rPr>
      </w:pPr>
    </w:p>
    <w:tbl>
      <w:tblPr>
        <w:tblStyle w:val="12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3"/>
        <w:gridCol w:w="104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3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З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нал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=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660 013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× 0,105 </w:t>
            </w:r>
            <m:oMath>
              <m:r>
                <m:rPr/>
                <w:rPr>
                  <w:rFonts w:hint="default" w:ascii="DejaVu Math TeX Gyre" w:hAnsi="DejaVu Math TeX Gyre" w:eastAsia="Aptos" w:cs="Times New Roman"/>
                  <w:sz w:val="28"/>
                  <w:szCs w:val="28"/>
                </w:rPr>
                <m:t>≈</m:t>
              </m:r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6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9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301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тг.</w:t>
            </w:r>
          </w:p>
        </w:tc>
        <w:tc>
          <w:tcPr>
            <w:tcW w:w="992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(11)</w:t>
            </w:r>
          </w:p>
        </w:tc>
      </w:tr>
    </w:tbl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4)Косвенные расходы. Амортизация оборудования (A</w:t>
      </w:r>
      <w:r>
        <w:rPr>
          <w:rFonts w:hint="default" w:ascii="Times New Roman" w:hAnsi="Times New Roman" w:eastAsia="Aptos" w:cs="Times New Roman"/>
          <w:sz w:val="22"/>
          <w:szCs w:val="22"/>
          <w:lang w:val="ru-RU"/>
        </w:rPr>
        <w:t>общ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 xml:space="preserve">) для ПК стоимостью </w:t>
      </w:r>
      <w:r>
        <w:rPr>
          <w:rFonts w:hint="default" w:ascii="Times New Roman" w:hAnsi="Times New Roman" w:eastAsia="Aptos" w:cs="Times New Roman"/>
          <w:sz w:val="28"/>
          <w:szCs w:val="28"/>
          <w:lang w:val="en-US"/>
        </w:rPr>
        <w:t>6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00 000 тг (срок службы 60 мес) за период разработки (1,</w:t>
      </w:r>
      <w:r>
        <w:rPr>
          <w:rFonts w:hint="default" w:ascii="Times New Roman" w:hAnsi="Times New Roman" w:eastAsia="Aptos" w:cs="Times New Roman"/>
          <w:sz w:val="28"/>
          <w:szCs w:val="28"/>
          <w:lang w:val="en-US"/>
        </w:rPr>
        <w:t>7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5 мес):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12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2"/>
        <w:gridCol w:w="184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2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А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о</m:t>
                  </m:r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ru-RU"/>
                    </w:rPr>
                    <m:t>бщ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  <m:t>00 000</m:t>
                  </m:r>
                  <m:ctrl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  <m:t>60</m:t>
                  </m:r>
                  <m:ctrl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× 1,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7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5 = 1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7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 500 тг.</w:t>
            </w:r>
          </w:p>
        </w:tc>
        <w:tc>
          <w:tcPr>
            <w:tcW w:w="1843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(12)</w:t>
            </w:r>
          </w:p>
        </w:tc>
      </w:tr>
    </w:tbl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Затраты на электроэнергию и связь (З</w:t>
      </w:r>
      <w:r>
        <w:rPr>
          <w:rFonts w:hint="default" w:ascii="Times New Roman" w:hAnsi="Times New Roman" w:eastAsia="Aptos" w:cs="Times New Roman"/>
          <w:sz w:val="22"/>
          <w:szCs w:val="22"/>
        </w:rPr>
        <w:t>ком</w:t>
      </w:r>
      <w:r>
        <w:rPr>
          <w:rFonts w:hint="default" w:ascii="Times New Roman" w:hAnsi="Times New Roman" w:eastAsia="Aptos" w:cs="Times New Roman"/>
          <w:sz w:val="28"/>
          <w:szCs w:val="28"/>
        </w:rPr>
        <w:t>):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</w:rPr>
      </w:pPr>
    </w:p>
    <w:tbl>
      <w:tblPr>
        <w:tblStyle w:val="12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3"/>
        <w:gridCol w:w="104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3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ru-RU"/>
                    </w:rPr>
                    <m:t>З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ru-RU"/>
                    </w:rPr>
                    <m:t>ком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= (0,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8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кВт × 2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8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0 ч × 25 тг) + </w:t>
            </w:r>
          </w:p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+5 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0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00 =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5600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+ 5 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0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00 =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10600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тг.</w:t>
            </w:r>
          </w:p>
        </w:tc>
        <w:tc>
          <w:tcPr>
            <w:tcW w:w="850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(13)</w:t>
            </w:r>
          </w:p>
        </w:tc>
      </w:tr>
    </w:tbl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Накладные расходы (H</w:t>
      </w:r>
      <w:r>
        <w:rPr>
          <w:rFonts w:hint="default" w:ascii="Times New Roman" w:hAnsi="Times New Roman" w:eastAsia="Aptos" w:cs="Times New Roman"/>
          <w:sz w:val="22"/>
          <w:szCs w:val="22"/>
        </w:rPr>
        <w:t>р</w:t>
      </w:r>
      <w:r>
        <w:rPr>
          <w:rFonts w:hint="default" w:ascii="Times New Roman" w:hAnsi="Times New Roman" w:eastAsia="Aptos" w:cs="Times New Roman"/>
          <w:sz w:val="28"/>
          <w:szCs w:val="28"/>
        </w:rPr>
        <w:t>), принимаемые как 25% от основной заработной платы: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tbl>
      <w:tblPr>
        <w:tblStyle w:val="12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3"/>
        <w:gridCol w:w="104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3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H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ru-RU"/>
                    </w:rPr>
                    <m:t>p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=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500 010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× 0,25 = 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125 003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тг.</w:t>
            </w:r>
          </w:p>
        </w:tc>
        <w:tc>
          <w:tcPr>
            <w:tcW w:w="992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(14)</w:t>
            </w:r>
          </w:p>
        </w:tc>
      </w:tr>
    </w:tbl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5) Сводная смета затрат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Итоговая стоимость разработки (K</w:t>
      </w:r>
      <w:r>
        <w:rPr>
          <w:rFonts w:hint="default" w:ascii="Times New Roman" w:hAnsi="Times New Roman" w:eastAsia="Aptos" w:cs="Times New Roman"/>
          <w:sz w:val="22"/>
          <w:szCs w:val="22"/>
        </w:rPr>
        <w:t>p</w:t>
      </w:r>
      <w:r>
        <w:rPr>
          <w:rFonts w:hint="default" w:ascii="Times New Roman" w:hAnsi="Times New Roman" w:eastAsia="Aptos" w:cs="Times New Roman"/>
          <w:sz w:val="28"/>
          <w:szCs w:val="28"/>
        </w:rPr>
        <w:t>) определяется суммированием всех статей: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tbl>
      <w:tblPr>
        <w:tblStyle w:val="12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3"/>
        <w:gridCol w:w="12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3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  <w:lang w:val="ru-RU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K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P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=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7000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+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660013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+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17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 500 +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10 600 + 125 003 +75 000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=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964 417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тг.</w:t>
            </w:r>
          </w:p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(15)</w:t>
            </w:r>
          </w:p>
        </w:tc>
      </w:tr>
    </w:tbl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 xml:space="preserve">Таблица 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eastAsia="Aptos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Aptos" w:cs="Times New Roman"/>
          <w:sz w:val="28"/>
          <w:szCs w:val="28"/>
        </w:rPr>
        <w:t>Структура капитальных вложений</w:t>
      </w:r>
    </w:p>
    <w:tbl>
      <w:tblPr>
        <w:tblStyle w:val="1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1"/>
        <w:gridCol w:w="3081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0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Статья затрат</w:t>
            </w:r>
          </w:p>
        </w:tc>
        <w:tc>
          <w:tcPr>
            <w:tcW w:w="308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Сумма, тг</w:t>
            </w:r>
          </w:p>
        </w:tc>
        <w:tc>
          <w:tcPr>
            <w:tcW w:w="308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Доля, %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0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Материальные затраты</w:t>
            </w:r>
          </w:p>
        </w:tc>
        <w:tc>
          <w:tcPr>
            <w:tcW w:w="308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 xml:space="preserve">7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308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0,7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  <w:t>%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0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Фонд оплаты труда</w:t>
            </w:r>
          </w:p>
        </w:tc>
        <w:tc>
          <w:tcPr>
            <w:tcW w:w="308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ru-RU" w:eastAsia="zh-CN"/>
              </w:rPr>
              <w:t>660 013</w:t>
            </w:r>
          </w:p>
        </w:tc>
        <w:tc>
          <w:tcPr>
            <w:tcW w:w="308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68,4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  <w:t>%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3080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Налоги и отчисления</w:t>
            </w:r>
          </w:p>
        </w:tc>
        <w:tc>
          <w:tcPr>
            <w:tcW w:w="308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69 301</w:t>
            </w:r>
          </w:p>
        </w:tc>
        <w:tc>
          <w:tcPr>
            <w:tcW w:w="308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  <w:t>7,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2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  <w:t>%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0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Амортизация</w:t>
            </w:r>
          </w:p>
        </w:tc>
        <w:tc>
          <w:tcPr>
            <w:tcW w:w="308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17500</w:t>
            </w:r>
          </w:p>
        </w:tc>
        <w:tc>
          <w:tcPr>
            <w:tcW w:w="308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  <w:t>1,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8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  <w:t>%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0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Электроэнергия и связь</w:t>
            </w:r>
          </w:p>
        </w:tc>
        <w:tc>
          <w:tcPr>
            <w:tcW w:w="308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10 600</w:t>
            </w:r>
          </w:p>
        </w:tc>
        <w:tc>
          <w:tcPr>
            <w:tcW w:w="308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  <w:t>1,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1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  <w:t>%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0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Накладные расходы</w:t>
            </w:r>
          </w:p>
        </w:tc>
        <w:tc>
          <w:tcPr>
            <w:tcW w:w="308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125 003</w:t>
            </w:r>
          </w:p>
        </w:tc>
        <w:tc>
          <w:tcPr>
            <w:tcW w:w="308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12,9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  <w:t>%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3080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ru-RU" w:eastAsia="zh-CN"/>
              </w:rPr>
              <w:t>Лицензии/облачные сервисы</w:t>
            </w:r>
          </w:p>
        </w:tc>
        <w:tc>
          <w:tcPr>
            <w:tcW w:w="308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75 000</w:t>
            </w:r>
          </w:p>
        </w:tc>
        <w:tc>
          <w:tcPr>
            <w:tcW w:w="308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7,8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0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ИТОГО:</w:t>
            </w:r>
          </w:p>
        </w:tc>
        <w:tc>
          <w:tcPr>
            <w:tcW w:w="308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964 417</w:t>
            </w:r>
          </w:p>
        </w:tc>
        <w:tc>
          <w:tcPr>
            <w:tcW w:w="308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 w:eastAsia="en-US" w:bidi="ar-SA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  <w:t>100%</w:t>
            </w:r>
          </w:p>
        </w:tc>
      </w:tr>
    </w:tbl>
    <w:p>
      <w:pPr>
        <w:spacing w:after="0" w:line="240" w:lineRule="auto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4.2.2. Расчет эксплуатационной экономии (</w:t>
      </w:r>
      <m:oMath>
        <m:r>
          <m:rPr/>
          <w:rPr>
            <w:rFonts w:hint="default" w:ascii="DejaVu Math TeX Gyre" w:hAnsi="DejaVu Math TeX Gyre" w:eastAsia="Aptos" w:cs="Times New Roman"/>
            <w:sz w:val="28"/>
            <w:szCs w:val="28"/>
          </w:rPr>
          <m:t>∆</m:t>
        </m:r>
      </m:oMath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C)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Базовый вариант (C</w:t>
      </w:r>
      <w:r>
        <w:rPr>
          <w:rFonts w:hint="default" w:ascii="Times New Roman" w:hAnsi="Times New Roman" w:eastAsia="Aptos" w:cs="Times New Roman"/>
          <w:sz w:val="22"/>
          <w:szCs w:val="22"/>
          <w:lang w:val="ru-RU"/>
        </w:rPr>
        <w:t>0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)Затраты складываются из подписки на ПО «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1С, AmoCRM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» (</w:t>
      </w:r>
      <w:r>
        <w:rPr>
          <w:rFonts w:hint="default" w:ascii="Times New Roman" w:hAnsi="Times New Roman" w:eastAsia="Aptos" w:cs="Times New Roman"/>
          <w:sz w:val="28"/>
          <w:szCs w:val="28"/>
          <w:lang w:val="en-US"/>
        </w:rPr>
        <w:t>18 000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 xml:space="preserve"> тг/мес), потерь от списания просрочки (</w:t>
      </w:r>
      <w:r>
        <w:rPr>
          <w:rFonts w:hint="default" w:ascii="Times New Roman" w:hAnsi="Times New Roman" w:eastAsia="Aptos" w:cs="Times New Roman"/>
          <w:sz w:val="28"/>
          <w:szCs w:val="28"/>
          <w:lang w:val="en-US"/>
        </w:rPr>
        <w:t>8 333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 xml:space="preserve"> тг/мес) и оплаты ручного труда при сведении отчетов (</w:t>
      </w:r>
      <w:r>
        <w:rPr>
          <w:rFonts w:hint="default" w:ascii="Times New Roman" w:hAnsi="Times New Roman" w:eastAsia="Aptos" w:cs="Times New Roman"/>
          <w:sz w:val="28"/>
          <w:szCs w:val="28"/>
          <w:lang w:val="en-US"/>
        </w:rPr>
        <w:t>25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 xml:space="preserve"> 000 тг/мес):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</w:rPr>
      </w:pPr>
    </w:p>
    <w:tbl>
      <w:tblPr>
        <w:tblStyle w:val="12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3"/>
        <w:gridCol w:w="104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3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C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0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=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 w:eastAsia="zh-CN"/>
              </w:rPr>
              <w:t>18 000 + 8 333 + 25 000 = 51 333</w:t>
            </w:r>
          </w:p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тг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/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  <w:t>мес.</w:t>
            </w:r>
          </w:p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(16)</w:t>
            </w:r>
          </w:p>
        </w:tc>
      </w:tr>
    </w:tbl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pStyle w:val="13"/>
        <w:numPr>
          <w:ilvl w:val="0"/>
          <w:numId w:val="6"/>
        </w:numPr>
        <w:spacing w:after="0" w:line="240" w:lineRule="auto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Проектируемый вариант (C</w:t>
      </w:r>
      <w:r>
        <w:rPr>
          <w:rFonts w:hint="default" w:ascii="Times New Roman" w:hAnsi="Times New Roman" w:eastAsia="Aptos" w:cs="Times New Roman"/>
          <w:sz w:val="22"/>
          <w:szCs w:val="22"/>
          <w:lang w:val="ru-RU"/>
        </w:rPr>
        <w:t>1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 xml:space="preserve">) 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Облачный хостинг (DigitalOcean, AWS): 5 000 тг/мес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, р</w:t>
      </w:r>
      <w:r>
        <w:rPr>
          <w:rFonts w:hint="default" w:ascii="Times New Roman" w:hAnsi="Times New Roman" w:eastAsia="Aptos" w:cs="Times New Roman"/>
          <w:sz w:val="28"/>
          <w:szCs w:val="28"/>
          <w:lang w:val="ru-RU" w:eastAsia="zh-CN"/>
        </w:rPr>
        <w:t>езервное копирование и мониторинг: 2 000 тг/мес</w:t>
      </w:r>
      <w:r>
        <w:rPr>
          <w:rFonts w:hint="default" w:ascii="Times New Roman" w:hAnsi="Times New Roman" w:eastAsia="Aptos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и расходные материалы (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1 5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00 тг):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</w:rPr>
      </w:pPr>
    </w:p>
    <w:tbl>
      <w:tblPr>
        <w:tblStyle w:val="12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3"/>
        <w:gridCol w:w="104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3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C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1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=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 w:eastAsia="zh-CN"/>
              </w:rPr>
              <w:t>5 000 + 2 000 + 1 500 = 8 500</w:t>
            </w:r>
          </w:p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тг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/>
              </w:rPr>
              <w:t>/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  <w:t>мес.</w:t>
            </w:r>
          </w:p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(17)</w:t>
            </w:r>
          </w:p>
        </w:tc>
      </w:tr>
    </w:tbl>
    <w:p>
      <w:pPr>
        <w:spacing w:after="0" w:line="240" w:lineRule="auto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pStyle w:val="13"/>
        <w:numPr>
          <w:ilvl w:val="0"/>
          <w:numId w:val="6"/>
        </w:numPr>
        <w:spacing w:after="0" w:line="240" w:lineRule="auto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Ежемесечная выгода:</w:t>
      </w:r>
    </w:p>
    <w:p>
      <w:pPr>
        <w:pStyle w:val="13"/>
        <w:spacing w:after="0" w:line="240" w:lineRule="auto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</w:rPr>
      </w:pPr>
    </w:p>
    <w:tbl>
      <w:tblPr>
        <w:tblStyle w:val="12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3"/>
        <w:gridCol w:w="104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3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  <m:t>∆</m:t>
                  </m:r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C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м</m:t>
                  </m:r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ru-RU"/>
                    </w:rPr>
                    <m:t>ес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=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 w:eastAsia="zh-CN"/>
              </w:rPr>
              <w:t xml:space="preserve">51 333 - 8 500 = 42 833 </w:t>
            </w:r>
          </w:p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тг.</w:t>
            </w:r>
          </w:p>
        </w:tc>
        <w:tc>
          <w:tcPr>
            <w:tcW w:w="850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(18)</w:t>
            </w:r>
          </w:p>
        </w:tc>
      </w:tr>
    </w:tbl>
    <w:p>
      <w:pPr>
        <w:pStyle w:val="13"/>
        <w:spacing w:after="0" w:line="240" w:lineRule="auto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4.2.3 Итоговые показатели - срок окупаемости (T</w:t>
      </w:r>
      <w:r>
        <w:rPr>
          <w:rFonts w:hint="default" w:ascii="Times New Roman" w:hAnsi="Times New Roman" w:eastAsia="Aptos" w:cs="Times New Roman"/>
          <w:sz w:val="22"/>
          <w:szCs w:val="22"/>
          <w:lang w:val="ru-RU"/>
        </w:rPr>
        <w:t>ok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):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12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9"/>
        <w:gridCol w:w="21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9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T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ok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ru-RU"/>
                    </w:rPr>
                    <m:t>964 417</m:t>
                  </m:r>
                  <m:ctrl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ru-RU"/>
                    </w:rPr>
                    <m:t>42 833</m:t>
                  </m:r>
                  <m:ctrl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</w:t>
            </w:r>
            <m:oMath>
              <m:r>
                <m:rPr/>
                <w:rPr>
                  <w:rFonts w:hint="default" w:ascii="DejaVu Math TeX Gyre" w:hAnsi="DejaVu Math TeX Gyre" w:eastAsia="Aptos" w:cs="Times New Roman"/>
                  <w:sz w:val="28"/>
                  <w:szCs w:val="28"/>
                </w:rPr>
                <m:t>≈</m:t>
              </m:r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  <w:t>22,5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месяца.</w:t>
            </w:r>
          </w:p>
        </w:tc>
        <w:tc>
          <w:tcPr>
            <w:tcW w:w="2126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(19)</w:t>
            </w:r>
          </w:p>
        </w:tc>
      </w:tr>
    </w:tbl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Коэффициент эффективности (E</w:t>
      </w:r>
      <w:r>
        <w:rPr>
          <w:rFonts w:hint="default" w:ascii="Times New Roman" w:hAnsi="Times New Roman" w:eastAsia="Aptos" w:cs="Times New Roman"/>
          <w:sz w:val="22"/>
          <w:szCs w:val="22"/>
        </w:rPr>
        <w:t>p</w:t>
      </w:r>
      <w:r>
        <w:rPr>
          <w:rFonts w:hint="default" w:ascii="Times New Roman" w:hAnsi="Times New Roman" w:eastAsia="Aptos" w:cs="Times New Roman"/>
          <w:sz w:val="28"/>
          <w:szCs w:val="28"/>
        </w:rPr>
        <w:t>):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tbl>
      <w:tblPr>
        <w:tblStyle w:val="12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9"/>
        <w:gridCol w:w="21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9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  <w:lang w:val="ru-RU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E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p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  <m:t>1</m:t>
                  </m:r>
                  <m:ctrl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ru-RU"/>
                    </w:rPr>
                    <m:t>22,5</m:t>
                  </m:r>
                  <m:ctrlPr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</w:t>
            </w:r>
            <m:oMath>
              <m:r>
                <m:rPr/>
                <w:rPr>
                  <w:rFonts w:hint="default" w:ascii="DejaVu Math TeX Gyre" w:hAnsi="DejaVu Math TeX Gyre" w:eastAsia="Aptos" w:cs="Times New Roman"/>
                  <w:sz w:val="28"/>
                  <w:szCs w:val="28"/>
                </w:rPr>
                <m:t>≈</m:t>
              </m:r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0,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ru-RU"/>
              </w:rPr>
              <w:t>044</w:t>
            </w:r>
          </w:p>
        </w:tc>
        <w:tc>
          <w:tcPr>
            <w:tcW w:w="2126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(20)</w:t>
            </w:r>
          </w:p>
        </w:tc>
      </w:tr>
    </w:tbl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Годовой экономический эффект (Э</w:t>
      </w:r>
      <w:r>
        <w:rPr>
          <w:rFonts w:hint="default" w:ascii="Times New Roman" w:hAnsi="Times New Roman" w:eastAsia="Aptos" w:cs="Times New Roman"/>
          <w:sz w:val="22"/>
          <w:szCs w:val="22"/>
        </w:rPr>
        <w:t>год</w:t>
      </w:r>
      <w:r>
        <w:rPr>
          <w:rFonts w:hint="default" w:ascii="Times New Roman" w:hAnsi="Times New Roman" w:eastAsia="Aptos" w:cs="Times New Roman"/>
          <w:sz w:val="28"/>
          <w:szCs w:val="28"/>
        </w:rPr>
        <w:t>):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tbl>
      <w:tblPr>
        <w:tblStyle w:val="12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1"/>
        <w:gridCol w:w="285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1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jc w:val="center"/>
              <w:rPr>
                <w:rFonts w:hint="default" w:ascii="Times New Roman" w:hAnsi="Times New Roman" w:eastAsia="Aptos" w:cs="Times New Roman"/>
                <w:i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ru-RU"/>
                    </w:rPr>
                    <m:t>Э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en-US"/>
                    </w:rPr>
                    <m:t>г</m:t>
                  </m:r>
                  <m:r>
                    <m:rPr/>
                    <w:rPr>
                      <w:rFonts w:hint="default" w:ascii="DejaVu Math TeX Gyre" w:hAnsi="DejaVu Math TeX Gyre" w:eastAsia="Aptos" w:cs="Times New Roman"/>
                      <w:sz w:val="28"/>
                      <w:szCs w:val="28"/>
                      <w:lang w:val="ru-RU"/>
                    </w:rPr>
                    <m:t>од</m:t>
                  </m:r>
                  <m:ctrlPr>
                    <w:rPr>
                      <w:rFonts w:hint="default" w:ascii="DejaVu Math TeX Gyre" w:hAnsi="DejaVu Math TeX Gyre" w:eastAsia="Aptos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= 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  <w:lang w:val="en-US" w:eastAsia="zh-CN"/>
              </w:rPr>
              <w:t>42 833 × 12 = 513 996</w:t>
            </w: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 xml:space="preserve"> тг.</w:t>
            </w:r>
          </w:p>
        </w:tc>
        <w:tc>
          <w:tcPr>
            <w:tcW w:w="2854" w:type="dxa"/>
            <w:vAlign w:val="center"/>
          </w:tcPr>
          <w:p>
            <w:pPr>
              <w:tabs>
                <w:tab w:val="center" w:pos="4693"/>
                <w:tab w:val="left" w:pos="6264"/>
              </w:tabs>
              <w:spacing w:after="0" w:line="240" w:lineRule="auto"/>
              <w:ind w:left="360"/>
              <w:jc w:val="right"/>
              <w:rPr>
                <w:rFonts w:hint="default" w:ascii="Times New Roman" w:hAnsi="Times New Roman" w:eastAsia="Aptos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ptos" w:cs="Times New Roman"/>
                <w:sz w:val="28"/>
                <w:szCs w:val="28"/>
              </w:rPr>
              <w:t>(21)</w:t>
            </w:r>
          </w:p>
        </w:tc>
      </w:tr>
    </w:tbl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Интерпретация результатов: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Несмотря на длительный срок окупаемости (около 22,5 месяца), проект имеет положительный экономический эффект: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Годовая экономия: 513 996 тенге ежегодно.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Снижение рисков: Предотвращение штрафов (100-150 тыс. тг/год).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Повышение производительности: Сокращение времени на обработку договоров.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Долговечность: Система работает неограниченное время без лицензионных платежей.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Масштабируемость: Легко расширяется по мере роста организации.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Вывод: Проект финансово оправдан и рекомендуется к внедрению.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</w:p>
    <w:p>
      <w:pPr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br w:type="page"/>
      </w:r>
    </w:p>
    <w:p>
      <w:pPr>
        <w:spacing w:after="0" w:line="240" w:lineRule="auto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З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АКЛЮЧЕНИЕ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Aptos" w:cs="Times New Roman"/>
          <w:b w:val="0"/>
          <w:bCs w:val="0"/>
          <w:sz w:val="28"/>
          <w:szCs w:val="28"/>
        </w:rPr>
        <w:t>В ходе проектирования и реализации системы «ContractHub» была создана полноценная информационная система управления договорной базой на базе современного технологического стека React, Node.js и MySQL. Техническая архитектура включает фронтенд на React 18 с использованием Material UI для формирования удобного адаптивного интерфейса, бэкенд на Node.js с Express для обработки бизнес логики и предоставления REST API, базу данных MySQL 8 с применением ORM Sequelize для надёжного хранения данных, а также контейнеризацию с помощью Docker для упрощённого развёртывания на любых платформах.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Aptos" w:cs="Times New Roman"/>
          <w:b w:val="0"/>
          <w:bCs w:val="0"/>
          <w:sz w:val="28"/>
          <w:szCs w:val="28"/>
        </w:rPr>
        <w:t>Система решает основные задачи управления договорами. Она централизует договорную базу в единой системе, автоматически информирует о сроках исполнения обязательств, обеспечивает контроль задолженности в режиме реального времени, формирует аналитические отчёты с графической визуализацией, ведёт полную историю изменений по каждому договору и реализует ролевую модель доступа.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Aptos" w:cs="Times New Roman"/>
          <w:b w:val="0"/>
          <w:bCs w:val="0"/>
          <w:sz w:val="28"/>
          <w:szCs w:val="28"/>
        </w:rPr>
        <w:t>Экономическая эффективность подтверждается конкретными показателями. Годовая экономия составляет 513 996 тенге, срок окупаемости — 22,5 месяца. Дополнительно система позволяет предотвращать убытки от пропуска сроков в размере 100–150 тысяч тенге ежегодно.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Aptos" w:cs="Times New Roman"/>
          <w:b w:val="0"/>
          <w:bCs w:val="0"/>
          <w:sz w:val="28"/>
          <w:szCs w:val="28"/>
        </w:rPr>
        <w:t>Таким образом, «ContractHub» является готовой к эксплуатации системой, способной эффективно решать задачи управления договорной деятельностью, повышать качество контроля исполнения обязательств и оптимизировать взаимодействие с контрагентами.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rPr>
          <w:rFonts w:hint="default" w:ascii="Times New Roman" w:hAnsi="Times New Roman" w:eastAsia="Aptos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br w:type="page"/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Aptos" w:cs="Times New Roman"/>
          <w:sz w:val="28"/>
          <w:szCs w:val="28"/>
        </w:rPr>
        <w:t>С</w:t>
      </w:r>
      <w:r>
        <w:rPr>
          <w:rFonts w:hint="default" w:ascii="Times New Roman" w:hAnsi="Times New Roman" w:eastAsia="Aptos" w:cs="Times New Roman"/>
          <w:sz w:val="28"/>
          <w:szCs w:val="28"/>
          <w:lang w:val="ru-RU"/>
        </w:rPr>
        <w:t>ПИСОК ИСПОЛЬЗОВАННОЙ ЛИТЕРАТУРЫ</w:t>
      </w:r>
    </w:p>
    <w:p>
      <w:pPr>
        <w:spacing w:after="0" w:line="240" w:lineRule="auto"/>
        <w:ind w:firstLine="567"/>
        <w:jc w:val="both"/>
        <w:rPr>
          <w:rFonts w:hint="default" w:ascii="Times New Roman" w:hAnsi="Times New Roman" w:eastAsia="Aptos" w:cs="Times New Roman"/>
          <w:sz w:val="28"/>
          <w:szCs w:val="28"/>
        </w:rPr>
      </w:pP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Вендров, А.М. Проектирование информационных систем: учебник / А.М. Вендров. — 3-е изд. — М.: Финансы и статистика, 2018. — 352 с.</w:t>
      </w: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Васильев, А. Программирование на PHP в примерах и задачах / А. Васильев. — М.: Эксмо, 2021. — 352 с.</w:t>
      </w: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Дейт, К.Дж. Введение в системы баз данных / К.Дж. Дейт. — 8-е изд. — М.: Вильямс, 2020. — 1328 с.</w:t>
      </w: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Шварц, Б. MySQL. Оптимизация производительности / Б. Шварц, П. Зайцев. — М.: Символ-Плюс, 2018. — 832 с.</w:t>
      </w: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Зандстра, М. PHP: объекты, шаблоны и методики программирования / М. Зандстра. — 5-е изд. — СПб.: Диалектика, 2021. — 576 с.</w:t>
      </w: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Попов, В.В. Защита веб-приложений. PHP, MySQL, JavaScript / В.В. Попов. — М.: ДМК Пресс, 2020. — 300 с.</w:t>
      </w: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Ковалёв, В.В. Инвестиции в IT-проекты: оценка эффективности / В.В. Ковалёв. — М.: Проспект, 2021. — 400 с.</w:t>
      </w: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Гражданский кодекс Республики Казахстан. — Алматы: Жеңіл Құрылым, 2015. — 450 с.</w:t>
      </w: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 электронном документе и электронной цифровой подписи: Закон Республики Казахстан от 07.01.2003 № 370-II // Ведомости Парламента РК.</w:t>
      </w: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Официальная документация PHP [Электронный ресурс]. — Режим доступа: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"https://www.php.net/manual/ru/"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https://www.php.net/manual/ru/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Официальная документация MariaDB [Электронный ресурс]. — Режим доступа: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"https://mariadb.com/docs/"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https://mariadb.com/docs/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Arial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mbria Math">
    <w:altName w:val="DejaVu Math TeX Gyre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Mincho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6177725"/>
      <w:docPartObj>
        <w:docPartGallery w:val="AutoText"/>
      </w:docPartObj>
    </w:sdtPr>
    <w:sdtContent>
      <w:p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>14</w:t>
        </w:r>
        <w:r>
          <w:fldChar w:fldCharType="end"/>
        </w:r>
      </w:p>
    </w:sdtContent>
  </w:sdt>
  <w:p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005" w:type="dxa"/>
        </w:tcPr>
        <w:p>
          <w:pPr>
            <w:pStyle w:val="8"/>
            <w:ind w:left="-115"/>
          </w:pPr>
        </w:p>
      </w:tc>
      <w:tc>
        <w:tcPr>
          <w:tcW w:w="3005" w:type="dxa"/>
        </w:tcPr>
        <w:p>
          <w:pPr>
            <w:pStyle w:val="8"/>
            <w:jc w:val="center"/>
          </w:pPr>
        </w:p>
      </w:tc>
      <w:tc>
        <w:tcPr>
          <w:tcW w:w="3005" w:type="dxa"/>
        </w:tcPr>
        <w:p>
          <w:pPr>
            <w:pStyle w:val="8"/>
            <w:ind w:right="-115"/>
            <w:jc w:val="right"/>
          </w:pPr>
        </w:p>
      </w:tc>
    </w:tr>
  </w:tbl>
  <w:p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F7281"/>
    <w:multiLevelType w:val="singleLevel"/>
    <w:tmpl w:val="F7FF728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27819950"/>
    <w:multiLevelType w:val="multilevel"/>
    <w:tmpl w:val="27819950"/>
    <w:lvl w:ilvl="0" w:tentative="0">
      <w:start w:val="1"/>
      <w:numFmt w:val="bullet"/>
      <w:lvlText w:val=""/>
      <w:lvlJc w:val="left"/>
      <w:pPr>
        <w:ind w:left="397" w:hanging="37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47D6551"/>
    <w:multiLevelType w:val="multilevel"/>
    <w:tmpl w:val="347D6551"/>
    <w:lvl w:ilvl="0" w:tentative="0">
      <w:start w:val="1"/>
      <w:numFmt w:val="bullet"/>
      <w:lvlText w:val="-"/>
      <w:lvlJc w:val="left"/>
      <w:pPr>
        <w:ind w:left="397" w:hanging="37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">
    <w:nsid w:val="3989725B"/>
    <w:multiLevelType w:val="multilevel"/>
    <w:tmpl w:val="3989725B"/>
    <w:lvl w:ilvl="0" w:tentative="0">
      <w:start w:val="1"/>
      <w:numFmt w:val="bullet"/>
      <w:lvlText w:val="-"/>
      <w:lvlJc w:val="left"/>
      <w:pPr>
        <w:ind w:left="397" w:hanging="37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43F4C97"/>
    <w:multiLevelType w:val="multilevel"/>
    <w:tmpl w:val="543F4C97"/>
    <w:lvl w:ilvl="0" w:tentative="0">
      <w:start w:val="1"/>
      <w:numFmt w:val="bullet"/>
      <w:lvlText w:val="-"/>
      <w:lvlJc w:val="left"/>
      <w:pPr>
        <w:ind w:left="397" w:hanging="37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5FA1225"/>
    <w:multiLevelType w:val="multilevel"/>
    <w:tmpl w:val="55FA1225"/>
    <w:lvl w:ilvl="0" w:tentative="0">
      <w:start w:val="1"/>
      <w:numFmt w:val="bullet"/>
      <w:lvlText w:val="-"/>
      <w:lvlJc w:val="left"/>
      <w:pPr>
        <w:ind w:left="397" w:hanging="37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78EF30CD"/>
    <w:multiLevelType w:val="multilevel"/>
    <w:tmpl w:val="78EF30CD"/>
    <w:lvl w:ilvl="0" w:tentative="0">
      <w:start w:val="1"/>
      <w:numFmt w:val="bullet"/>
      <w:lvlText w:val="-"/>
      <w:lvlJc w:val="left"/>
      <w:pPr>
        <w:ind w:left="397" w:hanging="37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0"/>
  <w:bordersDoNotSurroundFooter w:val="0"/>
  <w:documentProtection w:enforcement="0"/>
  <w:defaultTabStop w:val="709"/>
  <w:autoHyphenation/>
  <w:hyphenationZone w:val="35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355D41"/>
    <w:rsid w:val="00006186"/>
    <w:rsid w:val="00021384"/>
    <w:rsid w:val="00035A49"/>
    <w:rsid w:val="00052134"/>
    <w:rsid w:val="00056BF7"/>
    <w:rsid w:val="00070EA2"/>
    <w:rsid w:val="00084E3E"/>
    <w:rsid w:val="00090A8F"/>
    <w:rsid w:val="00093ED9"/>
    <w:rsid w:val="000A41F9"/>
    <w:rsid w:val="000A74C8"/>
    <w:rsid w:val="000B09A2"/>
    <w:rsid w:val="000B292D"/>
    <w:rsid w:val="000C72CE"/>
    <w:rsid w:val="000E31E5"/>
    <w:rsid w:val="000F79FC"/>
    <w:rsid w:val="00110CB2"/>
    <w:rsid w:val="00115999"/>
    <w:rsid w:val="00120D88"/>
    <w:rsid w:val="00145E7F"/>
    <w:rsid w:val="001552B4"/>
    <w:rsid w:val="00191C93"/>
    <w:rsid w:val="00193CF6"/>
    <w:rsid w:val="001A7D61"/>
    <w:rsid w:val="001E1456"/>
    <w:rsid w:val="001E6EF6"/>
    <w:rsid w:val="002015CB"/>
    <w:rsid w:val="00203FE9"/>
    <w:rsid w:val="0021210E"/>
    <w:rsid w:val="002127A5"/>
    <w:rsid w:val="00224820"/>
    <w:rsid w:val="00230D26"/>
    <w:rsid w:val="0024026C"/>
    <w:rsid w:val="0024341B"/>
    <w:rsid w:val="00243CB2"/>
    <w:rsid w:val="002569D9"/>
    <w:rsid w:val="0026137E"/>
    <w:rsid w:val="00290A08"/>
    <w:rsid w:val="002A015D"/>
    <w:rsid w:val="002D55FF"/>
    <w:rsid w:val="002E2CFF"/>
    <w:rsid w:val="00327784"/>
    <w:rsid w:val="0033154D"/>
    <w:rsid w:val="00343AC8"/>
    <w:rsid w:val="0034742B"/>
    <w:rsid w:val="0035538C"/>
    <w:rsid w:val="00366490"/>
    <w:rsid w:val="00381A9D"/>
    <w:rsid w:val="00383E13"/>
    <w:rsid w:val="003A58A6"/>
    <w:rsid w:val="003C0FF9"/>
    <w:rsid w:val="003D31FF"/>
    <w:rsid w:val="003F4063"/>
    <w:rsid w:val="00400CB0"/>
    <w:rsid w:val="00404A68"/>
    <w:rsid w:val="00446EDB"/>
    <w:rsid w:val="004659A7"/>
    <w:rsid w:val="00484C77"/>
    <w:rsid w:val="00492A95"/>
    <w:rsid w:val="004A300B"/>
    <w:rsid w:val="004A3B17"/>
    <w:rsid w:val="004D4438"/>
    <w:rsid w:val="004E62FD"/>
    <w:rsid w:val="004F14DC"/>
    <w:rsid w:val="00505CBF"/>
    <w:rsid w:val="00512CD9"/>
    <w:rsid w:val="00513C93"/>
    <w:rsid w:val="005218B7"/>
    <w:rsid w:val="0052253A"/>
    <w:rsid w:val="005247EC"/>
    <w:rsid w:val="0053024A"/>
    <w:rsid w:val="00556FA7"/>
    <w:rsid w:val="005666AF"/>
    <w:rsid w:val="0058256A"/>
    <w:rsid w:val="005A203F"/>
    <w:rsid w:val="005B6667"/>
    <w:rsid w:val="005B6E1D"/>
    <w:rsid w:val="005B77DD"/>
    <w:rsid w:val="005C3565"/>
    <w:rsid w:val="005E5B1D"/>
    <w:rsid w:val="005E5E73"/>
    <w:rsid w:val="005F75B3"/>
    <w:rsid w:val="005F7D7D"/>
    <w:rsid w:val="00602996"/>
    <w:rsid w:val="00607E63"/>
    <w:rsid w:val="006258A1"/>
    <w:rsid w:val="0062664B"/>
    <w:rsid w:val="00640AA5"/>
    <w:rsid w:val="00645D20"/>
    <w:rsid w:val="00655423"/>
    <w:rsid w:val="00674E8F"/>
    <w:rsid w:val="006757D1"/>
    <w:rsid w:val="00680257"/>
    <w:rsid w:val="006844B4"/>
    <w:rsid w:val="006A208C"/>
    <w:rsid w:val="006B7157"/>
    <w:rsid w:val="006B7654"/>
    <w:rsid w:val="006D5D93"/>
    <w:rsid w:val="006F4BEC"/>
    <w:rsid w:val="00706A86"/>
    <w:rsid w:val="00720C6F"/>
    <w:rsid w:val="007219BD"/>
    <w:rsid w:val="00731D00"/>
    <w:rsid w:val="00736B46"/>
    <w:rsid w:val="0075680C"/>
    <w:rsid w:val="00764DC9"/>
    <w:rsid w:val="00776C39"/>
    <w:rsid w:val="00777D17"/>
    <w:rsid w:val="007A5569"/>
    <w:rsid w:val="007D001D"/>
    <w:rsid w:val="007D0D99"/>
    <w:rsid w:val="007D2C12"/>
    <w:rsid w:val="007E4C51"/>
    <w:rsid w:val="007F0E98"/>
    <w:rsid w:val="007F3E4B"/>
    <w:rsid w:val="00800F42"/>
    <w:rsid w:val="00806A37"/>
    <w:rsid w:val="00833FFF"/>
    <w:rsid w:val="00843EBB"/>
    <w:rsid w:val="00852A6C"/>
    <w:rsid w:val="00853982"/>
    <w:rsid w:val="00863598"/>
    <w:rsid w:val="008635C4"/>
    <w:rsid w:val="00876C7F"/>
    <w:rsid w:val="00890679"/>
    <w:rsid w:val="008929D1"/>
    <w:rsid w:val="008B6DCA"/>
    <w:rsid w:val="008E6EFE"/>
    <w:rsid w:val="008F6543"/>
    <w:rsid w:val="00901154"/>
    <w:rsid w:val="009049DA"/>
    <w:rsid w:val="00924853"/>
    <w:rsid w:val="00935182"/>
    <w:rsid w:val="00940FA6"/>
    <w:rsid w:val="009447BB"/>
    <w:rsid w:val="00955953"/>
    <w:rsid w:val="009575A5"/>
    <w:rsid w:val="00962338"/>
    <w:rsid w:val="00963ED5"/>
    <w:rsid w:val="00972125"/>
    <w:rsid w:val="00985DAE"/>
    <w:rsid w:val="00996F92"/>
    <w:rsid w:val="009A323F"/>
    <w:rsid w:val="009A4997"/>
    <w:rsid w:val="009B19B6"/>
    <w:rsid w:val="009B26F6"/>
    <w:rsid w:val="009B3572"/>
    <w:rsid w:val="009C1160"/>
    <w:rsid w:val="009C40C5"/>
    <w:rsid w:val="009D26D3"/>
    <w:rsid w:val="009E0E94"/>
    <w:rsid w:val="009E731A"/>
    <w:rsid w:val="009F1F01"/>
    <w:rsid w:val="00A25D48"/>
    <w:rsid w:val="00A31C07"/>
    <w:rsid w:val="00A45E82"/>
    <w:rsid w:val="00A52584"/>
    <w:rsid w:val="00A5258F"/>
    <w:rsid w:val="00A6297F"/>
    <w:rsid w:val="00A6695E"/>
    <w:rsid w:val="00A672E6"/>
    <w:rsid w:val="00A721CC"/>
    <w:rsid w:val="00A82A1D"/>
    <w:rsid w:val="00AA277B"/>
    <w:rsid w:val="00AB01C0"/>
    <w:rsid w:val="00AB1617"/>
    <w:rsid w:val="00AC4DC7"/>
    <w:rsid w:val="00AD4354"/>
    <w:rsid w:val="00AD52AC"/>
    <w:rsid w:val="00AFB81D"/>
    <w:rsid w:val="00B00FED"/>
    <w:rsid w:val="00B11C54"/>
    <w:rsid w:val="00B220F3"/>
    <w:rsid w:val="00B35436"/>
    <w:rsid w:val="00B43C4D"/>
    <w:rsid w:val="00B46EF5"/>
    <w:rsid w:val="00B65803"/>
    <w:rsid w:val="00B66A4D"/>
    <w:rsid w:val="00B7771F"/>
    <w:rsid w:val="00B81F44"/>
    <w:rsid w:val="00B865CE"/>
    <w:rsid w:val="00BB62E4"/>
    <w:rsid w:val="00BF58BB"/>
    <w:rsid w:val="00C03741"/>
    <w:rsid w:val="00C04C75"/>
    <w:rsid w:val="00C25D41"/>
    <w:rsid w:val="00C279EA"/>
    <w:rsid w:val="00C329F7"/>
    <w:rsid w:val="00C3423F"/>
    <w:rsid w:val="00C563E7"/>
    <w:rsid w:val="00C628F1"/>
    <w:rsid w:val="00C878A2"/>
    <w:rsid w:val="00C901AD"/>
    <w:rsid w:val="00CA5FDC"/>
    <w:rsid w:val="00CB7D49"/>
    <w:rsid w:val="00CE1D2D"/>
    <w:rsid w:val="00CF4030"/>
    <w:rsid w:val="00D20E1A"/>
    <w:rsid w:val="00D34441"/>
    <w:rsid w:val="00D3E31E"/>
    <w:rsid w:val="00D5594F"/>
    <w:rsid w:val="00D64AE2"/>
    <w:rsid w:val="00D86A93"/>
    <w:rsid w:val="00D87526"/>
    <w:rsid w:val="00D95CB7"/>
    <w:rsid w:val="00DA495F"/>
    <w:rsid w:val="00DB3B8F"/>
    <w:rsid w:val="00DB5D08"/>
    <w:rsid w:val="00DB7911"/>
    <w:rsid w:val="00DC0118"/>
    <w:rsid w:val="00DD56F5"/>
    <w:rsid w:val="00DD7F7A"/>
    <w:rsid w:val="00DE1294"/>
    <w:rsid w:val="00E26C90"/>
    <w:rsid w:val="00E368BD"/>
    <w:rsid w:val="00E6715E"/>
    <w:rsid w:val="00E677AD"/>
    <w:rsid w:val="00E71398"/>
    <w:rsid w:val="00E73B9B"/>
    <w:rsid w:val="00E80324"/>
    <w:rsid w:val="00EA047F"/>
    <w:rsid w:val="00EA1B5B"/>
    <w:rsid w:val="00EA55BA"/>
    <w:rsid w:val="00EB09E8"/>
    <w:rsid w:val="00EB2CFD"/>
    <w:rsid w:val="00EB537A"/>
    <w:rsid w:val="00EC5488"/>
    <w:rsid w:val="00EC7078"/>
    <w:rsid w:val="00ED14BC"/>
    <w:rsid w:val="00ED1C76"/>
    <w:rsid w:val="00ED773D"/>
    <w:rsid w:val="00EE32F9"/>
    <w:rsid w:val="00F15EE0"/>
    <w:rsid w:val="00F2702C"/>
    <w:rsid w:val="00F37883"/>
    <w:rsid w:val="00F4640B"/>
    <w:rsid w:val="00F53A30"/>
    <w:rsid w:val="00F5E7FC"/>
    <w:rsid w:val="00F774BA"/>
    <w:rsid w:val="00F9351B"/>
    <w:rsid w:val="00FA6C3A"/>
    <w:rsid w:val="00FB0C85"/>
    <w:rsid w:val="00FB101C"/>
    <w:rsid w:val="00FC4D2B"/>
    <w:rsid w:val="0165117D"/>
    <w:rsid w:val="01A0988D"/>
    <w:rsid w:val="01ADDBEA"/>
    <w:rsid w:val="01DC9B23"/>
    <w:rsid w:val="029AF53C"/>
    <w:rsid w:val="02E690F8"/>
    <w:rsid w:val="030207BB"/>
    <w:rsid w:val="031A726D"/>
    <w:rsid w:val="033AE783"/>
    <w:rsid w:val="03718A3F"/>
    <w:rsid w:val="0380EBB3"/>
    <w:rsid w:val="03A5CE74"/>
    <w:rsid w:val="0435CDCF"/>
    <w:rsid w:val="04490C1A"/>
    <w:rsid w:val="047C97A3"/>
    <w:rsid w:val="047F2A7F"/>
    <w:rsid w:val="04A8413D"/>
    <w:rsid w:val="04B32A1F"/>
    <w:rsid w:val="04B37866"/>
    <w:rsid w:val="04B87B1D"/>
    <w:rsid w:val="0553E3BE"/>
    <w:rsid w:val="0564DEC7"/>
    <w:rsid w:val="05916E2E"/>
    <w:rsid w:val="05D3F81A"/>
    <w:rsid w:val="06207434"/>
    <w:rsid w:val="063AC586"/>
    <w:rsid w:val="0648AC32"/>
    <w:rsid w:val="0658060F"/>
    <w:rsid w:val="07665562"/>
    <w:rsid w:val="07B32F8F"/>
    <w:rsid w:val="08429A88"/>
    <w:rsid w:val="0884DBE7"/>
    <w:rsid w:val="08C11F39"/>
    <w:rsid w:val="08D35500"/>
    <w:rsid w:val="08EB076C"/>
    <w:rsid w:val="091A5049"/>
    <w:rsid w:val="0958DF2F"/>
    <w:rsid w:val="099C660D"/>
    <w:rsid w:val="099F8BE3"/>
    <w:rsid w:val="09A07786"/>
    <w:rsid w:val="09BA14BC"/>
    <w:rsid w:val="09FC64CE"/>
    <w:rsid w:val="0A4CAD85"/>
    <w:rsid w:val="0A6D29EA"/>
    <w:rsid w:val="0A7A2F46"/>
    <w:rsid w:val="0A7C19F0"/>
    <w:rsid w:val="0A84131C"/>
    <w:rsid w:val="0AA194AD"/>
    <w:rsid w:val="0AD188CD"/>
    <w:rsid w:val="0B2C97CF"/>
    <w:rsid w:val="0B6762A1"/>
    <w:rsid w:val="0BBCE1BC"/>
    <w:rsid w:val="0BEF6BC7"/>
    <w:rsid w:val="0C035FE1"/>
    <w:rsid w:val="0C0DC98E"/>
    <w:rsid w:val="0C2B38C5"/>
    <w:rsid w:val="0C4F8CAB"/>
    <w:rsid w:val="0CF88D79"/>
    <w:rsid w:val="0D60C072"/>
    <w:rsid w:val="0D6A23EB"/>
    <w:rsid w:val="0D72BB56"/>
    <w:rsid w:val="0D832597"/>
    <w:rsid w:val="0E506308"/>
    <w:rsid w:val="0E55A28E"/>
    <w:rsid w:val="0ECEE5BA"/>
    <w:rsid w:val="0ED2EF97"/>
    <w:rsid w:val="0F838CA4"/>
    <w:rsid w:val="0FB8E5F4"/>
    <w:rsid w:val="0FC1F535"/>
    <w:rsid w:val="0FF62B5C"/>
    <w:rsid w:val="10139F02"/>
    <w:rsid w:val="10DEDD6A"/>
    <w:rsid w:val="110BB14F"/>
    <w:rsid w:val="113DBDEB"/>
    <w:rsid w:val="11B39C22"/>
    <w:rsid w:val="11E47887"/>
    <w:rsid w:val="121C05FC"/>
    <w:rsid w:val="12710DD7"/>
    <w:rsid w:val="12759A3D"/>
    <w:rsid w:val="1305948C"/>
    <w:rsid w:val="132FBBAD"/>
    <w:rsid w:val="133D4AA4"/>
    <w:rsid w:val="13440D46"/>
    <w:rsid w:val="138FA6BD"/>
    <w:rsid w:val="13CA33FB"/>
    <w:rsid w:val="13DD7A2C"/>
    <w:rsid w:val="13F6EBEA"/>
    <w:rsid w:val="1406636A"/>
    <w:rsid w:val="14298E7C"/>
    <w:rsid w:val="1447A11F"/>
    <w:rsid w:val="151A7190"/>
    <w:rsid w:val="15616811"/>
    <w:rsid w:val="15A7C456"/>
    <w:rsid w:val="15CE1994"/>
    <w:rsid w:val="165D4664"/>
    <w:rsid w:val="1663195B"/>
    <w:rsid w:val="16C19E56"/>
    <w:rsid w:val="17334A2A"/>
    <w:rsid w:val="17515A3E"/>
    <w:rsid w:val="175C9C09"/>
    <w:rsid w:val="177CAF46"/>
    <w:rsid w:val="17B71F7C"/>
    <w:rsid w:val="17BB7E92"/>
    <w:rsid w:val="18355D41"/>
    <w:rsid w:val="183D513A"/>
    <w:rsid w:val="1841C344"/>
    <w:rsid w:val="1849CBE2"/>
    <w:rsid w:val="18B4BA19"/>
    <w:rsid w:val="195F13D8"/>
    <w:rsid w:val="19C07D56"/>
    <w:rsid w:val="19E6105E"/>
    <w:rsid w:val="1A2402EC"/>
    <w:rsid w:val="1A44FDFB"/>
    <w:rsid w:val="1B540D7E"/>
    <w:rsid w:val="1B88FCA8"/>
    <w:rsid w:val="1BF8B3E0"/>
    <w:rsid w:val="1C3E94F4"/>
    <w:rsid w:val="1C789B83"/>
    <w:rsid w:val="1CA9310C"/>
    <w:rsid w:val="1CBF56E2"/>
    <w:rsid w:val="1D889AE8"/>
    <w:rsid w:val="1D91A65E"/>
    <w:rsid w:val="1E64E6AE"/>
    <w:rsid w:val="1EC26D6F"/>
    <w:rsid w:val="1ED6F167"/>
    <w:rsid w:val="1F49CA4E"/>
    <w:rsid w:val="1F60B391"/>
    <w:rsid w:val="1F697390"/>
    <w:rsid w:val="1F777EF5"/>
    <w:rsid w:val="1FCE0165"/>
    <w:rsid w:val="204755F8"/>
    <w:rsid w:val="205A9582"/>
    <w:rsid w:val="205DCB5C"/>
    <w:rsid w:val="205EF89B"/>
    <w:rsid w:val="20EBF6A0"/>
    <w:rsid w:val="218A563B"/>
    <w:rsid w:val="21B0BAA6"/>
    <w:rsid w:val="21B5E604"/>
    <w:rsid w:val="21C59C66"/>
    <w:rsid w:val="220D582A"/>
    <w:rsid w:val="22218C36"/>
    <w:rsid w:val="2238F94A"/>
    <w:rsid w:val="2250E718"/>
    <w:rsid w:val="22B7EB49"/>
    <w:rsid w:val="232C0140"/>
    <w:rsid w:val="248A254C"/>
    <w:rsid w:val="24A386FF"/>
    <w:rsid w:val="24C366A7"/>
    <w:rsid w:val="24CB3C5F"/>
    <w:rsid w:val="24D2C38A"/>
    <w:rsid w:val="24DF423D"/>
    <w:rsid w:val="24E0B672"/>
    <w:rsid w:val="24E5DE0A"/>
    <w:rsid w:val="252AD1E7"/>
    <w:rsid w:val="253D228A"/>
    <w:rsid w:val="25B146BC"/>
    <w:rsid w:val="25E04B30"/>
    <w:rsid w:val="26151099"/>
    <w:rsid w:val="26D10209"/>
    <w:rsid w:val="26F3097F"/>
    <w:rsid w:val="26FD0C95"/>
    <w:rsid w:val="27218D6D"/>
    <w:rsid w:val="273F602D"/>
    <w:rsid w:val="27469B82"/>
    <w:rsid w:val="27CE852F"/>
    <w:rsid w:val="2850CAE3"/>
    <w:rsid w:val="287E67E0"/>
    <w:rsid w:val="28E2451B"/>
    <w:rsid w:val="28F0492D"/>
    <w:rsid w:val="29285774"/>
    <w:rsid w:val="292C931D"/>
    <w:rsid w:val="295E750C"/>
    <w:rsid w:val="298EDFF3"/>
    <w:rsid w:val="299D0857"/>
    <w:rsid w:val="29B04D78"/>
    <w:rsid w:val="29C18674"/>
    <w:rsid w:val="29F78E7D"/>
    <w:rsid w:val="2A247E33"/>
    <w:rsid w:val="2A2859A0"/>
    <w:rsid w:val="2A594C1F"/>
    <w:rsid w:val="2A5F2DB3"/>
    <w:rsid w:val="2A9CE6BC"/>
    <w:rsid w:val="2AC0AA89"/>
    <w:rsid w:val="2AFA9B16"/>
    <w:rsid w:val="2AFD6827"/>
    <w:rsid w:val="2B04F7F1"/>
    <w:rsid w:val="2B1D11E6"/>
    <w:rsid w:val="2B4F7507"/>
    <w:rsid w:val="2B6614A6"/>
    <w:rsid w:val="2B7588F2"/>
    <w:rsid w:val="2B869B2D"/>
    <w:rsid w:val="2B9BE588"/>
    <w:rsid w:val="2BA535B2"/>
    <w:rsid w:val="2BDF756B"/>
    <w:rsid w:val="2BE1AC34"/>
    <w:rsid w:val="2C0B1F6E"/>
    <w:rsid w:val="2C47E3E3"/>
    <w:rsid w:val="2CC71340"/>
    <w:rsid w:val="2D245E3D"/>
    <w:rsid w:val="2D436FFC"/>
    <w:rsid w:val="2D786073"/>
    <w:rsid w:val="2DA2792E"/>
    <w:rsid w:val="2DC7BECF"/>
    <w:rsid w:val="2E0089E4"/>
    <w:rsid w:val="2E2CDE85"/>
    <w:rsid w:val="2EA36FF9"/>
    <w:rsid w:val="2EAB4308"/>
    <w:rsid w:val="2ED7B4EE"/>
    <w:rsid w:val="2F1A3C0A"/>
    <w:rsid w:val="2F5BC03E"/>
    <w:rsid w:val="2F61FED8"/>
    <w:rsid w:val="2FD250A4"/>
    <w:rsid w:val="302DD13F"/>
    <w:rsid w:val="305E7614"/>
    <w:rsid w:val="318F387C"/>
    <w:rsid w:val="319E3DAD"/>
    <w:rsid w:val="31AB3351"/>
    <w:rsid w:val="31F45813"/>
    <w:rsid w:val="323A2B93"/>
    <w:rsid w:val="3244F0AE"/>
    <w:rsid w:val="329316BD"/>
    <w:rsid w:val="32DAA8CD"/>
    <w:rsid w:val="32FD7414"/>
    <w:rsid w:val="3309DECC"/>
    <w:rsid w:val="33412B2C"/>
    <w:rsid w:val="336C2797"/>
    <w:rsid w:val="338E2142"/>
    <w:rsid w:val="338FB055"/>
    <w:rsid w:val="33F986AE"/>
    <w:rsid w:val="3431FB05"/>
    <w:rsid w:val="347115A5"/>
    <w:rsid w:val="34A5AFA6"/>
    <w:rsid w:val="34F1FE91"/>
    <w:rsid w:val="356CC004"/>
    <w:rsid w:val="35AD0DCF"/>
    <w:rsid w:val="35EFBF8B"/>
    <w:rsid w:val="36139760"/>
    <w:rsid w:val="3613BA40"/>
    <w:rsid w:val="361D5D42"/>
    <w:rsid w:val="366EF4EF"/>
    <w:rsid w:val="368E8E30"/>
    <w:rsid w:val="36D0D555"/>
    <w:rsid w:val="36E8DA81"/>
    <w:rsid w:val="36F90161"/>
    <w:rsid w:val="3706B746"/>
    <w:rsid w:val="37CEBB6F"/>
    <w:rsid w:val="37D04EC7"/>
    <w:rsid w:val="37F359E9"/>
    <w:rsid w:val="37F6C60B"/>
    <w:rsid w:val="38229850"/>
    <w:rsid w:val="3845C1F7"/>
    <w:rsid w:val="386073D0"/>
    <w:rsid w:val="38802D7B"/>
    <w:rsid w:val="3934342A"/>
    <w:rsid w:val="395AAB36"/>
    <w:rsid w:val="398B13E3"/>
    <w:rsid w:val="39BC65F1"/>
    <w:rsid w:val="39DB167D"/>
    <w:rsid w:val="39E532A6"/>
    <w:rsid w:val="3A096088"/>
    <w:rsid w:val="3A111929"/>
    <w:rsid w:val="3A1540A6"/>
    <w:rsid w:val="3A3947E8"/>
    <w:rsid w:val="3AA0F117"/>
    <w:rsid w:val="3AB7B60F"/>
    <w:rsid w:val="3B27742A"/>
    <w:rsid w:val="3C03626C"/>
    <w:rsid w:val="3CA15930"/>
    <w:rsid w:val="3CB3E35D"/>
    <w:rsid w:val="3CC9877D"/>
    <w:rsid w:val="3D029ED1"/>
    <w:rsid w:val="3D032AA5"/>
    <w:rsid w:val="3D5A6067"/>
    <w:rsid w:val="3D5D0A9C"/>
    <w:rsid w:val="3E86029E"/>
    <w:rsid w:val="3EA9975C"/>
    <w:rsid w:val="3F485D09"/>
    <w:rsid w:val="3F4AEFB1"/>
    <w:rsid w:val="3F68CA3E"/>
    <w:rsid w:val="3F83D53E"/>
    <w:rsid w:val="3FEA4F52"/>
    <w:rsid w:val="3FEEC71A"/>
    <w:rsid w:val="40316A41"/>
    <w:rsid w:val="40A172D5"/>
    <w:rsid w:val="40B4E184"/>
    <w:rsid w:val="40E4720F"/>
    <w:rsid w:val="411A3F88"/>
    <w:rsid w:val="4221D722"/>
    <w:rsid w:val="4234F9A7"/>
    <w:rsid w:val="425DA697"/>
    <w:rsid w:val="4282F1D0"/>
    <w:rsid w:val="428745D3"/>
    <w:rsid w:val="4390570B"/>
    <w:rsid w:val="43FE3A70"/>
    <w:rsid w:val="4417E7F0"/>
    <w:rsid w:val="44264418"/>
    <w:rsid w:val="4456F4AC"/>
    <w:rsid w:val="45218FE4"/>
    <w:rsid w:val="452FAB8B"/>
    <w:rsid w:val="4581A9B5"/>
    <w:rsid w:val="4594F09F"/>
    <w:rsid w:val="45BBFC92"/>
    <w:rsid w:val="45EB8677"/>
    <w:rsid w:val="4643C95E"/>
    <w:rsid w:val="4668F712"/>
    <w:rsid w:val="46AD862A"/>
    <w:rsid w:val="46B25A30"/>
    <w:rsid w:val="46CC8FBA"/>
    <w:rsid w:val="46D3B224"/>
    <w:rsid w:val="46E04684"/>
    <w:rsid w:val="471E375A"/>
    <w:rsid w:val="474A75B1"/>
    <w:rsid w:val="474E3649"/>
    <w:rsid w:val="47760418"/>
    <w:rsid w:val="48049CBA"/>
    <w:rsid w:val="4830FF5A"/>
    <w:rsid w:val="4849E223"/>
    <w:rsid w:val="48968821"/>
    <w:rsid w:val="48D3012C"/>
    <w:rsid w:val="48F32512"/>
    <w:rsid w:val="490228F2"/>
    <w:rsid w:val="49568E9B"/>
    <w:rsid w:val="49A13911"/>
    <w:rsid w:val="4A077FD9"/>
    <w:rsid w:val="4A39D8A9"/>
    <w:rsid w:val="4A4ED667"/>
    <w:rsid w:val="4A921887"/>
    <w:rsid w:val="4ABB8102"/>
    <w:rsid w:val="4AFD60A5"/>
    <w:rsid w:val="4B25FB51"/>
    <w:rsid w:val="4B70DD09"/>
    <w:rsid w:val="4B71EB71"/>
    <w:rsid w:val="4BD3CF6B"/>
    <w:rsid w:val="4BDAF3DF"/>
    <w:rsid w:val="4C4FEDFE"/>
    <w:rsid w:val="4C8E43CB"/>
    <w:rsid w:val="4CA7A4A5"/>
    <w:rsid w:val="4D81F0E1"/>
    <w:rsid w:val="4D896390"/>
    <w:rsid w:val="4DA29A96"/>
    <w:rsid w:val="4E181A5C"/>
    <w:rsid w:val="4E198DC6"/>
    <w:rsid w:val="4E699681"/>
    <w:rsid w:val="4E748570"/>
    <w:rsid w:val="4F2792CC"/>
    <w:rsid w:val="4F535578"/>
    <w:rsid w:val="4F682268"/>
    <w:rsid w:val="4F838F67"/>
    <w:rsid w:val="4F916575"/>
    <w:rsid w:val="50431FA7"/>
    <w:rsid w:val="50459F3B"/>
    <w:rsid w:val="507E68E9"/>
    <w:rsid w:val="5097E35B"/>
    <w:rsid w:val="50D2059A"/>
    <w:rsid w:val="511CCD30"/>
    <w:rsid w:val="5122717E"/>
    <w:rsid w:val="51284B29"/>
    <w:rsid w:val="5189227E"/>
    <w:rsid w:val="5255BD05"/>
    <w:rsid w:val="52620341"/>
    <w:rsid w:val="52D1D657"/>
    <w:rsid w:val="52FC1FD2"/>
    <w:rsid w:val="5336DBEF"/>
    <w:rsid w:val="53AD6DFB"/>
    <w:rsid w:val="53E66BD0"/>
    <w:rsid w:val="544DC627"/>
    <w:rsid w:val="54618E6F"/>
    <w:rsid w:val="54F557F2"/>
    <w:rsid w:val="556ADFC2"/>
    <w:rsid w:val="55DB6AF2"/>
    <w:rsid w:val="55ED8488"/>
    <w:rsid w:val="56236A74"/>
    <w:rsid w:val="5646804B"/>
    <w:rsid w:val="56BF4AFC"/>
    <w:rsid w:val="56D44AE8"/>
    <w:rsid w:val="56DEFAA3"/>
    <w:rsid w:val="56F1D85C"/>
    <w:rsid w:val="56FA6EA7"/>
    <w:rsid w:val="57043ACB"/>
    <w:rsid w:val="571CD3D0"/>
    <w:rsid w:val="572505F7"/>
    <w:rsid w:val="572F8719"/>
    <w:rsid w:val="589A49DE"/>
    <w:rsid w:val="58CC782C"/>
    <w:rsid w:val="5901BF5A"/>
    <w:rsid w:val="59B2E0A9"/>
    <w:rsid w:val="5A82E617"/>
    <w:rsid w:val="5AC43105"/>
    <w:rsid w:val="5B4D93B2"/>
    <w:rsid w:val="5B556D80"/>
    <w:rsid w:val="5B73F19B"/>
    <w:rsid w:val="5BACF6CC"/>
    <w:rsid w:val="5BCCBFCB"/>
    <w:rsid w:val="5C0F5FBE"/>
    <w:rsid w:val="5C13CE63"/>
    <w:rsid w:val="5C40DB73"/>
    <w:rsid w:val="5CC04F1F"/>
    <w:rsid w:val="5CDA5AFB"/>
    <w:rsid w:val="5D3539D5"/>
    <w:rsid w:val="5D78590C"/>
    <w:rsid w:val="5D8E8D99"/>
    <w:rsid w:val="5DA82D6C"/>
    <w:rsid w:val="5DDBF665"/>
    <w:rsid w:val="5E1A7F00"/>
    <w:rsid w:val="5E468F48"/>
    <w:rsid w:val="5E8A63AA"/>
    <w:rsid w:val="5EA6FC80"/>
    <w:rsid w:val="5EBF9B80"/>
    <w:rsid w:val="5EE17AAC"/>
    <w:rsid w:val="5F549228"/>
    <w:rsid w:val="60E8B9CB"/>
    <w:rsid w:val="612C8839"/>
    <w:rsid w:val="61514B90"/>
    <w:rsid w:val="616C69B9"/>
    <w:rsid w:val="6182BFAA"/>
    <w:rsid w:val="61D0AAC2"/>
    <w:rsid w:val="627A5B16"/>
    <w:rsid w:val="628E7F25"/>
    <w:rsid w:val="632753EE"/>
    <w:rsid w:val="63A57885"/>
    <w:rsid w:val="63B43A51"/>
    <w:rsid w:val="63BC2A84"/>
    <w:rsid w:val="63F7CB8B"/>
    <w:rsid w:val="641D5754"/>
    <w:rsid w:val="6478ADCB"/>
    <w:rsid w:val="64D52142"/>
    <w:rsid w:val="64EDA278"/>
    <w:rsid w:val="654F497D"/>
    <w:rsid w:val="65961382"/>
    <w:rsid w:val="65BA1903"/>
    <w:rsid w:val="65D50A16"/>
    <w:rsid w:val="65E4D044"/>
    <w:rsid w:val="66878079"/>
    <w:rsid w:val="66C321AE"/>
    <w:rsid w:val="66EB5910"/>
    <w:rsid w:val="66FD27D0"/>
    <w:rsid w:val="66FDC26E"/>
    <w:rsid w:val="670BCAE0"/>
    <w:rsid w:val="671E9ED5"/>
    <w:rsid w:val="6723B2F1"/>
    <w:rsid w:val="6734410D"/>
    <w:rsid w:val="67D8E2B0"/>
    <w:rsid w:val="687A488D"/>
    <w:rsid w:val="68B96F47"/>
    <w:rsid w:val="68BAC6B2"/>
    <w:rsid w:val="6931180C"/>
    <w:rsid w:val="695634E7"/>
    <w:rsid w:val="696BC274"/>
    <w:rsid w:val="6A3248EC"/>
    <w:rsid w:val="6AF817A3"/>
    <w:rsid w:val="6B49ADE9"/>
    <w:rsid w:val="6B8C71A8"/>
    <w:rsid w:val="6BF55842"/>
    <w:rsid w:val="6C2D5C01"/>
    <w:rsid w:val="6C3DFE53"/>
    <w:rsid w:val="6C7E87E6"/>
    <w:rsid w:val="6C8B0FE3"/>
    <w:rsid w:val="6C9095AA"/>
    <w:rsid w:val="6C9F48C6"/>
    <w:rsid w:val="6CA5D1BD"/>
    <w:rsid w:val="6CBEAE94"/>
    <w:rsid w:val="6D487D3A"/>
    <w:rsid w:val="6DC742A6"/>
    <w:rsid w:val="6E4BE695"/>
    <w:rsid w:val="6EAF74FA"/>
    <w:rsid w:val="6EBDCF3F"/>
    <w:rsid w:val="6EE0CE11"/>
    <w:rsid w:val="6EE136F4"/>
    <w:rsid w:val="6F1BF4DE"/>
    <w:rsid w:val="6F41DA09"/>
    <w:rsid w:val="6F738B34"/>
    <w:rsid w:val="6FB3B69A"/>
    <w:rsid w:val="6FB3ED83"/>
    <w:rsid w:val="702E2125"/>
    <w:rsid w:val="7083F65D"/>
    <w:rsid w:val="70887AFE"/>
    <w:rsid w:val="708890A7"/>
    <w:rsid w:val="711C0BDF"/>
    <w:rsid w:val="71226B67"/>
    <w:rsid w:val="71763FEC"/>
    <w:rsid w:val="71DB10CE"/>
    <w:rsid w:val="71F675D0"/>
    <w:rsid w:val="722C50A9"/>
    <w:rsid w:val="7255A2EA"/>
    <w:rsid w:val="72AD8ADB"/>
    <w:rsid w:val="72DF8D73"/>
    <w:rsid w:val="73190459"/>
    <w:rsid w:val="737EF85D"/>
    <w:rsid w:val="73CC1290"/>
    <w:rsid w:val="73F72B1D"/>
    <w:rsid w:val="740E12A4"/>
    <w:rsid w:val="74515706"/>
    <w:rsid w:val="7476B84D"/>
    <w:rsid w:val="755368A9"/>
    <w:rsid w:val="759600DA"/>
    <w:rsid w:val="76353580"/>
    <w:rsid w:val="76535748"/>
    <w:rsid w:val="76722D82"/>
    <w:rsid w:val="77453E44"/>
    <w:rsid w:val="774D9CA4"/>
    <w:rsid w:val="775829E8"/>
    <w:rsid w:val="776DF23D"/>
    <w:rsid w:val="776E9D0A"/>
    <w:rsid w:val="77840358"/>
    <w:rsid w:val="77BFF24E"/>
    <w:rsid w:val="77EDF3E3"/>
    <w:rsid w:val="77EF059A"/>
    <w:rsid w:val="7935C20C"/>
    <w:rsid w:val="793CEBBC"/>
    <w:rsid w:val="79A215B2"/>
    <w:rsid w:val="7A2CAB41"/>
    <w:rsid w:val="7A9C54CD"/>
    <w:rsid w:val="7AB363D2"/>
    <w:rsid w:val="7AED5DC3"/>
    <w:rsid w:val="7AF5764A"/>
    <w:rsid w:val="7B141ECA"/>
    <w:rsid w:val="7B315E25"/>
    <w:rsid w:val="7B6B2BFF"/>
    <w:rsid w:val="7BAFA289"/>
    <w:rsid w:val="7BD55856"/>
    <w:rsid w:val="7BDF4257"/>
    <w:rsid w:val="7BE8414B"/>
    <w:rsid w:val="7C163D1C"/>
    <w:rsid w:val="7C476C4C"/>
    <w:rsid w:val="7C6675DF"/>
    <w:rsid w:val="7C684E5E"/>
    <w:rsid w:val="7CD223C0"/>
    <w:rsid w:val="7CDD2E99"/>
    <w:rsid w:val="7CDFF5DF"/>
    <w:rsid w:val="7CF4716F"/>
    <w:rsid w:val="7CFA7453"/>
    <w:rsid w:val="7D0106AA"/>
    <w:rsid w:val="7D4602B7"/>
    <w:rsid w:val="7DBC7C93"/>
    <w:rsid w:val="7EAD3682"/>
    <w:rsid w:val="7EBC85FC"/>
    <w:rsid w:val="7ECBD555"/>
    <w:rsid w:val="7EF65C04"/>
    <w:rsid w:val="7EFEBF36"/>
    <w:rsid w:val="7F8E7E0F"/>
    <w:rsid w:val="7FDD2855"/>
    <w:rsid w:val="7FFE06B9"/>
    <w:rsid w:val="BF7F021A"/>
    <w:rsid w:val="F5FB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kk-KZ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">
    <w:name w:val="FollowedHyperlink"/>
    <w:basedOn w:val="3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9">
    <w:name w:val="Hyperlink"/>
    <w:basedOn w:val="3"/>
    <w:unhideWhenUsed/>
    <w:qFormat/>
    <w:uiPriority w:val="99"/>
    <w:rPr>
      <w:color w:val="467886"/>
      <w:u w:val="single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11">
    <w:name w:val="Strong"/>
    <w:basedOn w:val="3"/>
    <w:qFormat/>
    <w:uiPriority w:val="22"/>
    <w:rPr>
      <w:b/>
      <w:bCs/>
    </w:rPr>
  </w:style>
  <w:style w:type="table" w:styleId="12">
    <w:name w:val="Table Grid"/>
    <w:basedOn w:val="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Текст выноски Знак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table" w:customStyle="1" w:styleId="15">
    <w:name w:val="Grid Table Light"/>
    <w:basedOn w:val="4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16">
    <w:name w:val="math-inline"/>
    <w:basedOn w:val="3"/>
    <w:qFormat/>
    <w:uiPriority w:val="0"/>
  </w:style>
  <w:style w:type="character" w:styleId="17">
    <w:name w:val="Placeholder Text"/>
    <w:basedOn w:val="3"/>
    <w:semiHidden/>
    <w:qFormat/>
    <w:uiPriority w:val="99"/>
    <w:rPr>
      <w:color w:val="666666"/>
    </w:rPr>
  </w:style>
  <w:style w:type="character" w:customStyle="1" w:styleId="18">
    <w:name w:val="Нижний колонтитул Знак"/>
    <w:basedOn w:val="3"/>
    <w:link w:val="7"/>
    <w:qFormat/>
    <w:uiPriority w:val="99"/>
    <w:rPr>
      <w:lang w:val="kk-KZ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../NUL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9024</Words>
  <Characters>51440</Characters>
  <Lines>428</Lines>
  <Paragraphs>120</Paragraphs>
  <TotalTime>10</TotalTime>
  <ScaleCrop>false</ScaleCrop>
  <LinksUpToDate>false</LinksUpToDate>
  <CharactersWithSpaces>60344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2025-10-23T12:09:00Z</dcterms:created>
  <dc:creator>Владислав Рудев</dc:creator>
  <cp:lastModifiedBy>leonid</cp:lastModifiedBy>
  <dcterms:modified xsi:type="dcterms:W3CDTF">2025-12-05T16:46:58Z</dcterms:modified>
  <cp:revision>164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