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MAPCLUST</w:t>
      </w:r>
      <w:r>
        <w:t xml:space="preserve"> </w:t>
      </w:r>
      <w:r>
        <w:t xml:space="preserve">-</w:t>
      </w:r>
      <w:r>
        <w:t xml:space="preserve"> </w:t>
      </w:r>
      <w:r>
        <w:t xml:space="preserve">СЕРВИС</w:t>
      </w:r>
      <w:r>
        <w:t xml:space="preserve"> </w:t>
      </w:r>
      <w:r>
        <w:t xml:space="preserve">ДЛЯ</w:t>
      </w:r>
      <w:r>
        <w:t xml:space="preserve"> </w:t>
      </w:r>
      <w:r>
        <w:t xml:space="preserve">ЭПИДЕМИОЛОГИЧЕСКОГО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ЭКОЛОГИЧЕСКОГО</w:t>
      </w:r>
      <w:r>
        <w:t xml:space="preserve"> </w:t>
      </w:r>
      <w:r>
        <w:t xml:space="preserve">МОНИТОРИНГА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Сергеевич</w:t>
      </w:r>
      <w:r>
        <w:rPr>
          <w:vertAlign w:val="superscript"/>
        </w:rPr>
        <w:t xml:space="preserve">1</w:t>
      </w:r>
      <w:r>
        <w:t xml:space="preserve">,Захаров</w:t>
      </w:r>
      <w:r>
        <w:t xml:space="preserve"> </w:t>
      </w:r>
      <w:r>
        <w:t xml:space="preserve">Олег</w:t>
      </w:r>
      <w:r>
        <w:t xml:space="preserve"> </w:t>
      </w:r>
      <w:r>
        <w:t xml:space="preserve">Станиславович</w:t>
      </w:r>
      <w:r>
        <w:rPr>
          <w:vertAlign w:val="superscript"/>
        </w:rPr>
        <w:t xml:space="preserve">1</w:t>
      </w:r>
      <w:r>
        <w:t xml:space="preserve">,Пятницкий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Гукасов</w:t>
      </w:r>
      <w:r>
        <w:t xml:space="preserve"> </w:t>
      </w:r>
      <w:r>
        <w:t xml:space="preserve">Вадим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t xml:space="preserve">1 - РНИМУ им. Н.И. Пирогова, Москва, 2 - ФГБНУ НИИ РИНКЦЭ, Москва</w:t>
      </w:r>
    </w:p>
    <w:bookmarkStart w:id="20" w:name="аннотация"/>
    <w:p>
      <w:pPr>
        <w:pStyle w:val="Heading1"/>
      </w:pPr>
      <w:r>
        <w:t xml:space="preserve">Аннотация</w:t>
      </w:r>
    </w:p>
    <w:p>
      <w:pPr>
        <w:pStyle w:val="FirstParagraph"/>
      </w:pPr>
      <w:r>
        <w:t xml:space="preserve">Эта статья посвящена описанию разработанного авторами веб-сервиса для кластеризации пространственных и пространственно-временных данных MapClust. MapClust является практической реализацией исследований, проведенных нами в предыдущих работах. В этой работе мы демонстрируем применение сервиса для решения задач эпидемиологического и экологического мониторинга.</w:t>
      </w:r>
    </w:p>
    <w:p>
      <w:pPr>
        <w:pStyle w:val="BodyText"/>
      </w:pPr>
      <w:r>
        <w:t xml:space="preserve">Ключевые слова: MapClust; эпидемиологический мониторинг; экологический мониторинг; алгоритм кластеризации.</w:t>
      </w:r>
    </w:p>
    <w:bookmarkEnd w:id="20"/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Поиск кластеров в пространственных данных является нетривиальной задачей, решение которой важно для мониторинга ситуации в некоторой изучаемой области. В текущий момент, в связи с неблагоприятной эпидемиологической и экологической ситуацией в мире остро стоит задача обнаружения областей, на которые в первую очередь необходимо обратить внимание для принятия мер. Один из наиболее популярных видов методов поиска кластеров, например, в анализе эпидемиологии туберкулеза – сканирующие статистики</w:t>
      </w:r>
      <w:r>
        <w:t xml:space="preserve">[7]</w:t>
      </w:r>
      <w:r>
        <w:t xml:space="preserve">. Самый известный метод сканирующей статистики – метод Куллдорфа</w:t>
      </w:r>
      <w:r>
        <w:t xml:space="preserve">[5]</w:t>
      </w:r>
      <w:r>
        <w:t xml:space="preserve">. Этот метод широко используется в современных эпидемиологических исследованиях</w:t>
      </w:r>
      <w:r>
        <w:t xml:space="preserve">[3; 4; 6]</w:t>
      </w:r>
      <w:r>
        <w:t xml:space="preserve">. Однако, метод зависит от формы и размера сканирующую окна, выдает один наиболее вероятный кластер и обладает довольно большой вероятностью ложноположительного результата, то есть в кластеры часто попадают области, которые не имеют никакого отношения к ним</w:t>
      </w:r>
      <w:r>
        <w:t xml:space="preserve">[8]</w:t>
      </w:r>
      <w:r>
        <w:t xml:space="preserve">. Наш критерий не зависит от формы и размеров кластеров, позволяет регулировать свою чувствительность, осуществляет поиск нескольких кластеров при заданной ошибке первого рода.</w:t>
      </w:r>
    </w:p>
    <w:bookmarkEnd w:id="21"/>
    <w:bookmarkStart w:id="26" w:name="принцип-работы"/>
    <w:p>
      <w:pPr>
        <w:pStyle w:val="Heading1"/>
      </w:pPr>
      <w:r>
        <w:t xml:space="preserve">Принцип работы</w:t>
      </w:r>
    </w:p>
    <w:p>
      <w:pPr>
        <w:pStyle w:val="FirstParagraph"/>
      </w:pPr>
      <w:r>
        <w:t xml:space="preserve">Данный сервис получает на вход данные о взаиморасположении областей исследования и о значении исследуемой величины в этой области. Исследуемая величина зависит от цели исследования: летальность заболевания, количество случаев, площадь лесных пожаров и многое другое. Данные должны быть представлены в специальном общеиспользуемом геоинформационном формате – ESRI Shapefile. Принцип поиска кластеров описан в статьях</w:t>
      </w:r>
      <w:r>
        <w:t xml:space="preserve">[9–12]</w:t>
      </w:r>
      <w:r>
        <w:t xml:space="preserve">. Для каждого региона рассчитывается значение p для сравнения величин в регионах (</w:t>
      </w:r>
      <w:hyperlink w:anchor="eq-p-spat">
        <w:r>
          <w:rPr>
            <w:rStyle w:val="Hyperlink"/>
          </w:rPr>
          <w:t xml:space="preserve">Equation 1</w:t>
        </w:r>
      </w:hyperlink>
      <w:r>
        <w:t xml:space="preserve">) или для сравнения моментов времени (</w:t>
      </w:r>
      <w:hyperlink w:anchor="eq-p-time">
        <w:r>
          <w:rPr>
            <w:rStyle w:val="Hyperlink"/>
          </w:rPr>
          <w:t xml:space="preserve">Equation 2</w:t>
        </w:r>
      </w:hyperlink>
      <w:r>
        <w:t xml:space="preserve">), где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- функция Лапласа. Для каждой области, для которой p меньше или выше некоторого порога, заданного пользователем, рассчитываются статистики (</w:t>
      </w:r>
      <w:hyperlink w:anchor="eq-clust-stat">
        <w:r>
          <w:rPr>
            <w:rStyle w:val="Hyperlink"/>
          </w:rPr>
          <w:t xml:space="preserve">Equation 3</w:t>
        </w:r>
      </w:hyperlink>
      <w:r>
        <w:t xml:space="preserve">) для кластеров и (</w:t>
      </w:r>
      <w:hyperlink w:anchor="eq-discharges-stat">
        <w:r>
          <w:rPr>
            <w:rStyle w:val="Hyperlink"/>
          </w:rPr>
          <w:t xml:space="preserve">Equation 4</w:t>
        </w:r>
      </w:hyperlink>
      <w:r>
        <w:t xml:space="preserve">) для разряжений.</w:t>
      </w:r>
    </w:p>
    <w:p>
      <w:pPr>
        <w:pStyle w:val="BodyText"/>
      </w:pPr>
      <w:bookmarkStart w:id="22" w:name="eq-p-spat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O</m:t>
                      </m:r>
                    </m:e>
                  </m:bar>
                </m:num>
                <m:den>
                  <m:rad>
                    <m:radPr>
                      <m:degHide m:val="1"/>
                    </m:radPr>
                    <m:deg/>
                    <m:e>
                      <m:bar>
                        <m:barPr>
                          <m:pos m:val="top"/>
                        </m:barPr>
                        <m:e>
                          <m:r>
                            <m:t>O</m:t>
                          </m:r>
                        </m:e>
                      </m:bar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-p-time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2</m:t>
                      </m:r>
                    </m:sup>
                  </m:sSubSup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bookmarkStart w:id="24" w:name="eq-clust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4"/>
    </w:p>
    <w:p>
      <w:pPr>
        <w:pStyle w:val="FirstParagraph"/>
      </w:pPr>
      <w:bookmarkStart w:id="25" w:name="eq-discharges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5"/>
    </w:p>
    <w:p>
      <w:pPr>
        <w:pStyle w:val="FirstParagraph"/>
      </w:pPr>
      <w:r>
        <w:t xml:space="preserve">Программа проверяет вхождение значения статистик в критическую область S(n), где n – число регионов соседей, для которых p меньше или выше определенного порога. Программа строит эту область методом Монте-Карло. Кластеры или разрежения, выходящие за критическую область, являются значимыми.</w:t>
      </w:r>
    </w:p>
    <w:bookmarkEnd w:id="26"/>
    <w:bookmarkStart w:id="43" w:name="примеры-работы"/>
    <w:p>
      <w:pPr>
        <w:pStyle w:val="Heading1"/>
      </w:pPr>
      <w:r>
        <w:t xml:space="preserve">Примеры работы</w:t>
      </w:r>
    </w:p>
    <w:p>
      <w:pPr>
        <w:pStyle w:val="FirstParagraph"/>
      </w:pPr>
      <w:r>
        <w:t xml:space="preserve">Приведем несколько примеров работы. Для первого примера возьмем данные по заболеваемостью вирусом иммунодефицита человека (ВИЧ) в Российской Федерации (РФ) с портала ЕМИСС</w:t>
      </w:r>
      <w:r>
        <w:t xml:space="preserve">[2]</w:t>
      </w:r>
      <w:r>
        <w:t xml:space="preserve">. Веб-сервис может работать в двух режимах работы: пространственном и пространственно-временном. Пространственный режим заключается в поиске кластеров по величине, измерянной в регионах определенной местности. Пространственно-временной режим - поиск кластеров по разнице некоторой величины во времени. Для начала работы необходимо построить критическую область. Для этого необходимо загрузить все файлы из архива, выбрать количество итераций и задать пороговые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</m:oMath>
      <w:r>
        <w:t xml:space="preserve">. Если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программа соответственно будет искать разряжения или кластеры. Для примера возьмем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и запустим критерий для в первом режиме для данных 2005 года и в втором режиме для данных 2005 и 2006 года. Результаты представлены на</w:t>
      </w:r>
      <w:r>
        <w:t xml:space="preserve"> </w:t>
      </w:r>
      <w:hyperlink w:anchor="fig-first">
        <w:r>
          <w:rPr>
            <w:rStyle w:val="Hyperlink"/>
          </w:rPr>
          <w:t xml:space="preserve">Figure 1</w:t>
        </w:r>
      </w:hyperlink>
      <w:r>
        <w:t xml:space="preserve">. Программа также позволяет получить список областей, составляющих кластеры или разряжения. Из полученных данных можно сделать выводы о регионах с благополучной и тревожной эпидемиологической обстановкой. Например, на</w:t>
      </w:r>
      <w:r>
        <w:t xml:space="preserve"> </w:t>
      </w:r>
      <w:hyperlink w:anchor="fig-second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продемонстрированы регионы с неблагоприятной эпидемиологической обстановкой (кластеры). Нетрудно заметить, что обнаружено несколько кластеров неправильной формы и разного размера.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first"/>
          <w:p>
            <w:pPr>
              <w:jc w:val="center"/>
            </w:pPr>
            <w:r>
              <w:drawing>
                <wp:inline>
                  <wp:extent cx="5334000" cy="29478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result_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47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Критическая область для обнаруженных кластеров и разряжений</w:t>
            </w:r>
          </w:p>
          <w:bookmarkEnd w:id="3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second"/>
          <w:p>
            <w:pPr>
              <w:jc w:val="center"/>
            </w:pPr>
            <w:r>
              <w:drawing>
                <wp:inline>
                  <wp:extent cx="5334000" cy="2613302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result_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13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Карта расположения статистически значимых кластеров. Границы кластеров обозначены черными линиями</w:t>
            </w:r>
          </w:p>
          <w:bookmarkEnd w:id="34"/>
        </w:tc>
      </w:tr>
    </w:tbl>
    <w:p>
      <w:pPr>
        <w:pStyle w:val="BodyText"/>
      </w:pPr>
      <w:r>
        <w:t xml:space="preserve">Также в практическом плане может быть гораздо полезнее смотреть динамику распространения инфекции. Наша программа позволяет сравнивать показатели. Сравним с теми же параметрами 2005 и 2006 год. Результат представлен на</w:t>
      </w:r>
      <w:r>
        <w:t xml:space="preserve"> </w:t>
      </w:r>
      <w:hyperlink w:anchor="fig-third">
        <w:r>
          <w:rPr>
            <w:rStyle w:val="Hyperlink"/>
          </w:rPr>
          <w:t xml:space="preserve">Figure 3</w:t>
        </w:r>
      </w:hyperlink>
      <w:r>
        <w:t xml:space="preserve">. Статистически значимое улучшение обстановки за год наблюдается только в Санкт-Петербурге.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8" w:name="fig-third"/>
          <w:p>
            <w:pPr>
              <w:jc w:val="center"/>
            </w:pPr>
            <w:r>
              <w:drawing>
                <wp:inline>
                  <wp:extent cx="5334000" cy="3149094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result_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49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Сравнение количества новых случаев заражения ВИЧ-инфекцией в РФ в 2005 и в 2006 годах.</w:t>
            </w:r>
          </w:p>
          <w:bookmarkEnd w:id="38"/>
        </w:tc>
      </w:tr>
    </w:tbl>
    <w:p>
      <w:pPr>
        <w:pStyle w:val="BodyText"/>
      </w:pPr>
      <w:r>
        <w:t xml:space="preserve">В качестве задачи экологического мониторинга рассмотрим поиск очагов ухудшения качества воздуха в Румынии. Данные взяты с сайта Европейского агентства по окружающей среде</w:t>
      </w:r>
      <w:r>
        <w:t xml:space="preserve">[1]</w:t>
      </w:r>
      <w:r>
        <w:t xml:space="preserve">. В качестве показателя, отображающего качество воздуха, возьмем концентрацию частиц диаметром меньше или равного 10 микрометрам (PM10). Рассмотрим, как изменилось качество воздуха с 2018 по 2021 год. Запустим критерий с параметрами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Результат представлен на</w:t>
      </w:r>
      <w:r>
        <w:t xml:space="preserve"> </w:t>
      </w:r>
      <w:hyperlink w:anchor="fig-fourth">
        <w:r>
          <w:rPr>
            <w:rStyle w:val="Hyperlink"/>
          </w:rPr>
          <w:t xml:space="preserve">Figure 4</w:t>
        </w:r>
      </w:hyperlink>
      <w:r>
        <w:t xml:space="preserve">. Наблюдается статистически значимое улучшение качества воздуха в районе Плоешти и Брашова, который исторически был промышленным в Румынии.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2" w:name="fig-fourth"/>
          <w:p>
            <w:pPr>
              <w:jc w:val="center"/>
            </w:pPr>
            <w:r>
              <w:drawing>
                <wp:inline>
                  <wp:extent cx="5334000" cy="2678158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result_4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78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Сравнение PM10 в Румынии за 2018 и 2021 год.</w:t>
            </w:r>
          </w:p>
          <w:bookmarkEnd w:id="42"/>
        </w:tc>
      </w:tr>
    </w:tbl>
    <w:bookmarkEnd w:id="43"/>
    <w:bookmarkStart w:id="44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Данный веб-сервис является мощным инструментом для кластеризации пространственных и пространственно-временных данных. Данный сервис доступен по адресу https://epidemmonitor.ru/MapClust/ . Кроме этого, код сервиса для локального использования по адресу https://github.com/SmirnygaTotoshka/MapClust . Подробная инструкция и тестовые данные представлены на сайте. Ограничения для онлайн-использования - 100 Мб. В дальнейших планах у авторов разработать пакет для языка программирования R и распространить используемый подход на другие типы данных.</w:t>
      </w:r>
    </w:p>
    <w:bookmarkEnd w:id="44"/>
    <w:bookmarkStart w:id="45" w:name="Xae14ee8302be915bdc772fbc153bae4b2406717"/>
    <w:p>
      <w:pPr>
        <w:pStyle w:val="Heading1"/>
      </w:pPr>
      <w:r>
        <w:t xml:space="preserve">MAPCLUST IS SERVICE FOR EPIDEMIOLOGICAL AND ECOLOGICAL MONITORING</w:t>
      </w:r>
    </w:p>
    <w:p>
      <w:pPr>
        <w:pStyle w:val="FirstParagraph"/>
      </w:pPr>
      <w:r>
        <w:rPr>
          <w:bCs/>
          <w:b/>
        </w:rPr>
        <w:t xml:space="preserve">Smirnov Anton Sergeevich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Zakharov Oleg Stanislavovich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Pyatnitskiy Alexey Mikhailovich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Gukasov Vadim Mikhailovich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,</w:t>
      </w:r>
    </w:p>
    <w:p>
      <w:pPr>
        <w:pStyle w:val="BodyText"/>
      </w:pPr>
      <w:r>
        <w:t xml:space="preserve">1 - PRNRMU, Moscow,</w:t>
      </w:r>
    </w:p>
    <w:p>
      <w:pPr>
        <w:pStyle w:val="BodyText"/>
      </w:pPr>
      <w:r>
        <w:t xml:space="preserve">2 - FRCEC, Moscow</w:t>
      </w:r>
    </w:p>
    <w:bookmarkEnd w:id="45"/>
    <w:bookmarkStart w:id="4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article is the MapClust description. The MapClust is web-service for clusterisation of spatial and spatio-temporal data and it is authors previous research practical realisation. We demostrate web-service work on epidemiological and ecological monitoring tasks.</w:t>
      </w:r>
    </w:p>
    <w:p>
      <w:pPr>
        <w:pStyle w:val="BodyText"/>
      </w:pPr>
      <w:r>
        <w:t xml:space="preserve">Keywords: MapClust; epidemiological monitoring; ecological monitoring; clustering algorithm.</w:t>
      </w:r>
    </w:p>
    <w:bookmarkEnd w:id="46"/>
    <w:bookmarkStart w:id="47" w:name="информация-об-авторах"/>
    <w:p>
      <w:pPr>
        <w:pStyle w:val="Heading1"/>
      </w:pPr>
      <w:r>
        <w:t xml:space="preserve">Информация об авторах</w:t>
      </w:r>
    </w:p>
    <w:p>
      <w:pPr>
        <w:numPr>
          <w:ilvl w:val="0"/>
          <w:numId w:val="1001"/>
        </w:numPr>
      </w:pPr>
      <w:r>
        <w:t xml:space="preserve">Смирнов Антон Сергеевич – студент 6 курса направления «Медицинская кибернетика» МБФ РНИМУ, Москва.</w:t>
      </w:r>
    </w:p>
    <w:p>
      <w:pPr>
        <w:numPr>
          <w:ilvl w:val="0"/>
          <w:numId w:val="1001"/>
        </w:numPr>
      </w:pPr>
      <w:r>
        <w:t xml:space="preserve">Захаров Олег Станиславович – студент 2 курса направления «Медицинская кибернетика» МБФ РНИМУ, Москва.</w:t>
      </w:r>
    </w:p>
    <w:p>
      <w:pPr>
        <w:numPr>
          <w:ilvl w:val="0"/>
          <w:numId w:val="1001"/>
        </w:numPr>
      </w:pPr>
      <w:r>
        <w:t xml:space="preserve">Пятницкий Алексей Михайлович – доцент кафедры высшей математики МБФ РНИМУ, кандидат физико-математических наук, Москва.</w:t>
      </w:r>
    </w:p>
    <w:p>
      <w:pPr>
        <w:numPr>
          <w:ilvl w:val="0"/>
          <w:numId w:val="1001"/>
        </w:numPr>
      </w:pPr>
      <w:r>
        <w:t xml:space="preserve">Гукасов Вадим Михайлович – доктор биологических наук, главный научный сотрудник Государственного центра экспертизы в сфере науки и инноваций, ФГБНУ НИИ Республиканский исследовательский научно-консультационный центр экспертизы (ФГБНУ НИИ РИНКЦЭ) Министерства науки и высшего образования России, Москва</w:t>
      </w:r>
    </w:p>
    <w:bookmarkEnd w:id="47"/>
    <w:bookmarkStart w:id="48" w:name="контактное-лицо"/>
    <w:p>
      <w:pPr>
        <w:pStyle w:val="Heading1"/>
      </w:pPr>
      <w:r>
        <w:t xml:space="preserve">Контактное лицо</w:t>
      </w:r>
    </w:p>
    <w:p>
      <w:pPr>
        <w:pStyle w:val="FirstParagraph"/>
      </w:pPr>
      <w:r>
        <w:t xml:space="preserve">Смирнов Антон Сергеевич, +79109522086, e-mail: anton.smirnov.9910@gmail.com</w:t>
      </w:r>
    </w:p>
    <w:bookmarkEnd w:id="48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50" w:name="ref-annuala"/>
    <w:p>
      <w:pPr>
        <w:pStyle w:val="Bibliography"/>
      </w:pPr>
      <w:r>
        <w:t xml:space="preserve">1.</w:t>
      </w:r>
      <w:r>
        <w:t xml:space="preserve"> </w:t>
      </w:r>
      <w:hyperlink r:id="rId49">
        <w:r>
          <w:rPr>
            <w:rStyle w:val="Hyperlink"/>
          </w:rPr>
          <w:t xml:space="preserve">Annual AQ statistics (AirBase &amp; e-reporting merged)</w:t>
        </w:r>
      </w:hyperlink>
      <w:r>
        <w:t xml:space="preserve">.</w:t>
      </w:r>
    </w:p>
    <w:bookmarkEnd w:id="50"/>
    <w:bookmarkStart w:id="52" w:name="ref-aleksandrova"/>
    <w:p>
      <w:pPr>
        <w:pStyle w:val="Bibliography"/>
      </w:pPr>
      <w:r>
        <w:t xml:space="preserve">2. Александрова Г.А.</w:t>
      </w:r>
      <w:r>
        <w:t xml:space="preserve"> </w:t>
      </w:r>
      <w:hyperlink r:id="rId51">
        <w:r>
          <w:rPr>
            <w:rStyle w:val="Hyperlink"/>
          </w:rPr>
          <w:t xml:space="preserve">Заболеваемость с впервые в жизни установленным диагнозом ВИЧ-инфекции на 100 тыс. Человек населения</w:t>
        </w:r>
      </w:hyperlink>
      <w:r>
        <w:t xml:space="preserve"> </w:t>
      </w:r>
      <w:r>
        <w:t xml:space="preserve">/ Г.А. Александрова.</w:t>
      </w:r>
    </w:p>
    <w:bookmarkEnd w:id="52"/>
    <w:bookmarkStart w:id="54" w:name="ref-ito2022"/>
    <w:p>
      <w:pPr>
        <w:pStyle w:val="Bibliography"/>
      </w:pPr>
      <w:r>
        <w:t xml:space="preserve">3. Ito S.</w:t>
      </w:r>
      <w:r>
        <w:t xml:space="preserve"> </w:t>
      </w:r>
      <w:hyperlink r:id="rId53">
        <w:r>
          <w:rPr>
            <w:rStyle w:val="Hyperlink"/>
          </w:rPr>
          <w:t xml:space="preserve">Spatio-Temporal Epidemiology of the Spread of African Swine Fever in Wild Boar and the Role of Environmental Factors in South Korea</w:t>
        </w:r>
      </w:hyperlink>
      <w:r>
        <w:t xml:space="preserve"> </w:t>
      </w:r>
      <w:r>
        <w:t xml:space="preserve">/ S. Ito [et al.] // Viruses. – 2022. – Vol. 14. – № 12. – P. 2779.</w:t>
      </w:r>
    </w:p>
    <w:bookmarkEnd w:id="54"/>
    <w:bookmarkStart w:id="56" w:name="ref-kiani2021"/>
    <w:p>
      <w:pPr>
        <w:pStyle w:val="Bibliography"/>
      </w:pPr>
      <w:r>
        <w:t xml:space="preserve">4. Kiani B.</w:t>
      </w:r>
      <w:r>
        <w:t xml:space="preserve"> </w:t>
      </w:r>
      <w:hyperlink r:id="rId55">
        <w:r>
          <w:rPr>
            <w:rStyle w:val="Hyperlink"/>
          </w:rPr>
          <w:t xml:space="preserve">Spatio-temporal epidemiology of the tuberculosis incidence rate in Iran 2008 to 2018</w:t>
        </w:r>
      </w:hyperlink>
      <w:r>
        <w:t xml:space="preserve"> </w:t>
      </w:r>
      <w:r>
        <w:t xml:space="preserve">/ B. Kiani [et al.] // BMC Public Health. – 2021. – Vol. 21. – № 1. – P. 1093.</w:t>
      </w:r>
    </w:p>
    <w:bookmarkEnd w:id="56"/>
    <w:bookmarkStart w:id="58" w:name="ref-kulldorff1997"/>
    <w:p>
      <w:pPr>
        <w:pStyle w:val="Bibliography"/>
      </w:pPr>
      <w:r>
        <w:t xml:space="preserve">5. Kulldorff M.</w:t>
      </w:r>
      <w:r>
        <w:t xml:space="preserve"> </w:t>
      </w:r>
      <w:hyperlink r:id="rId57">
        <w:r>
          <w:rPr>
            <w:rStyle w:val="Hyperlink"/>
          </w:rPr>
          <w:t xml:space="preserve">A spatial scan statistic</w:t>
        </w:r>
      </w:hyperlink>
      <w:r>
        <w:t xml:space="preserve"> </w:t>
      </w:r>
      <w:r>
        <w:t xml:space="preserve">/ M. Kulldorff // Communications in Statistics - Theory and Methods. – 1997. – Vol. 26. – № 6. – P. 1481-1496.</w:t>
      </w:r>
    </w:p>
    <w:bookmarkEnd w:id="58"/>
    <w:bookmarkStart w:id="60" w:name="ref-odhiambo2023"/>
    <w:p>
      <w:pPr>
        <w:pStyle w:val="Bibliography"/>
      </w:pPr>
      <w:r>
        <w:t xml:space="preserve">6. Odhiambo J.N.</w:t>
      </w:r>
      <w:r>
        <w:t xml:space="preserve"> </w:t>
      </w:r>
      <w:hyperlink r:id="rId59">
        <w:r>
          <w:rPr>
            <w:rStyle w:val="Hyperlink"/>
          </w:rPr>
          <w:t xml:space="preserve">Spatial and spatio-temporal epidemiological approaches to inform COVID-19 surveillance and control: a systematic review of statistical and modelling methods in Africa</w:t>
        </w:r>
      </w:hyperlink>
      <w:r>
        <w:t xml:space="preserve"> </w:t>
      </w:r>
      <w:r>
        <w:t xml:space="preserve">/ J.N. Odhiambo [et al.] // BMJ Open. – 2023. – Vol. 13. – Spatial and spatio-temporal epidemiological approaches to inform COVID-19 surveillance and control. – № 1. – P. e067134.</w:t>
      </w:r>
    </w:p>
    <w:bookmarkEnd w:id="60"/>
    <w:bookmarkStart w:id="62" w:name="ref-shaweno2018"/>
    <w:p>
      <w:pPr>
        <w:pStyle w:val="Bibliography"/>
      </w:pPr>
      <w:r>
        <w:t xml:space="preserve">7. Shaweno D.</w:t>
      </w:r>
      <w:r>
        <w:t xml:space="preserve"> </w:t>
      </w:r>
      <w:hyperlink r:id="rId61">
        <w:r>
          <w:rPr>
            <w:rStyle w:val="Hyperlink"/>
          </w:rPr>
          <w:t xml:space="preserve">Methods used in the spatial analysis of tuberculosis epidemiology: a systematic review</w:t>
        </w:r>
      </w:hyperlink>
      <w:r>
        <w:t xml:space="preserve"> </w:t>
      </w:r>
      <w:r>
        <w:t xml:space="preserve">/ D. Shaweno [et al.] // BMC Medicine. – 2018. – Vol. 16. – Methods used in the spatial analysis of tuberculosis epidemiology. – № 1. – P. 193.</w:t>
      </w:r>
    </w:p>
    <w:bookmarkEnd w:id="62"/>
    <w:bookmarkStart w:id="64" w:name="ref-tango2021"/>
    <w:p>
      <w:pPr>
        <w:pStyle w:val="Bibliography"/>
      </w:pPr>
      <w:r>
        <w:t xml:space="preserve">8. Tango T.</w:t>
      </w:r>
      <w:r>
        <w:t xml:space="preserve"> </w:t>
      </w:r>
      <w:hyperlink r:id="rId63">
        <w:r>
          <w:rPr>
            <w:rStyle w:val="Hyperlink"/>
          </w:rPr>
          <w:t xml:space="preserve">Spatial scan statistics can be dangerous</w:t>
        </w:r>
      </w:hyperlink>
      <w:r>
        <w:t xml:space="preserve"> </w:t>
      </w:r>
      <w:r>
        <w:t xml:space="preserve">/ T. Tango // Statistical Methods in Medical Research. – 2021. – Vol. 30. – № 1. – P. 75-86.</w:t>
      </w:r>
    </w:p>
    <w:bookmarkEnd w:id="64"/>
    <w:bookmarkStart w:id="66" w:name="ref-pyatnitskiy2021_2"/>
    <w:p>
      <w:pPr>
        <w:pStyle w:val="Bibliography"/>
      </w:pPr>
      <w:r>
        <w:t xml:space="preserve">9. Pyatnitskiy A.M.</w:t>
      </w:r>
      <w:r>
        <w:t xml:space="preserve"> </w:t>
      </w:r>
      <w:hyperlink r:id="rId65">
        <w:r>
          <w:rPr>
            <w:rStyle w:val="Hyperlink"/>
          </w:rPr>
          <w:t xml:space="preserve">Searching for clusters in population data</w:t>
        </w:r>
      </w:hyperlink>
      <w:r>
        <w:t xml:space="preserve"> </w:t>
      </w:r>
      <w:r>
        <w:t xml:space="preserve">/ A.M. Pyatnitskiy, V.M. Gukasov, A.S. Smirnov // Medicina i vysokie tehnologii. – 2021. – Vol. 3.</w:t>
      </w:r>
    </w:p>
    <w:bookmarkEnd w:id="66"/>
    <w:bookmarkStart w:id="68" w:name="ref-pyatnitskiy2021_1"/>
    <w:p>
      <w:pPr>
        <w:pStyle w:val="Bibliography"/>
      </w:pPr>
      <w:r>
        <w:t xml:space="preserve">10. Pyatnitskiy A.M.</w:t>
      </w:r>
      <w:r>
        <w:t xml:space="preserve"> </w:t>
      </w:r>
      <w:hyperlink r:id="rId67">
        <w:r>
          <w:rPr>
            <w:rStyle w:val="Hyperlink"/>
          </w:rPr>
          <w:t xml:space="preserve">Searching for event clusters in frequency tables with applications in epidemiology and ecological monitoring</w:t>
        </w:r>
      </w:hyperlink>
      <w:r>
        <w:t xml:space="preserve"> </w:t>
      </w:r>
      <w:r>
        <w:t xml:space="preserve">/ A.M. Pyatnitskiy, V.M. Gukasov, A.S. Smirnov // Medicina i vysokie tehnologii. – 2021. – Vol. 2. – P. 7-17.</w:t>
      </w:r>
    </w:p>
    <w:bookmarkEnd w:id="68"/>
    <w:bookmarkStart w:id="69" w:name="ref-pyatnickiy2020_1"/>
    <w:p>
      <w:pPr>
        <w:pStyle w:val="Bibliography"/>
      </w:pPr>
      <w:r>
        <w:t xml:space="preserve">11. Пятницкий А.М. Кластеризация данных методом «расширения точек» / А.М. Пятницкий, В.М. Гукасов, А.С. Смирнов // МЕДИЦИНА И ВЫСОКИЕ ТЕХНОЛОГИИ. – 2020. – № 2. – P. 9-14.</w:t>
      </w:r>
    </w:p>
    <w:bookmarkEnd w:id="69"/>
    <w:bookmarkStart w:id="70" w:name="ref-pyatnickiy2020_2"/>
    <w:p>
      <w:pPr>
        <w:pStyle w:val="Bibliography"/>
      </w:pPr>
      <w:r>
        <w:t xml:space="preserve">12. Пятницкий А.М. Поиск кластеров событий в эпидемиологическом и экологическом мониторинге / А.М. Пятницкий, В.М. Гукасов, А.С. Смирнов // МЕДИЦИНА И ВЫСОКИЕ ТЕХНОЛОГИИ. – 2020. – № 4. – P. 29-37.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9" Target="https://discomap.eea.europa.eu/App/AirQualityStatistics/index.html" TargetMode="External" /><Relationship Type="http://schemas.openxmlformats.org/officeDocument/2006/relationships/hyperlink" Id="rId57" Target="https://doi.org/10.1080/03610929708831995" TargetMode="External" /><Relationship Type="http://schemas.openxmlformats.org/officeDocument/2006/relationships/hyperlink" Id="rId59" Target="https://doi.org/10.1136/bmjopen-2022-067134" TargetMode="External" /><Relationship Type="http://schemas.openxmlformats.org/officeDocument/2006/relationships/hyperlink" Id="rId63" Target="https://doi.org/10.1177/0962280220930562" TargetMode="External" /><Relationship Type="http://schemas.openxmlformats.org/officeDocument/2006/relationships/hyperlink" Id="rId55" Target="https://doi.org/10.1186/s12889-021-11157-1" TargetMode="External" /><Relationship Type="http://schemas.openxmlformats.org/officeDocument/2006/relationships/hyperlink" Id="rId61" Target="https://doi.org/10.1186/s12916-018-1178-4" TargetMode="External" /><Relationship Type="http://schemas.openxmlformats.org/officeDocument/2006/relationships/hyperlink" Id="rId53" Target="https://doi.org/10.3390/v14122779" TargetMode="External" /><Relationship Type="http://schemas.openxmlformats.org/officeDocument/2006/relationships/hyperlink" Id="rId67" Target="https://doi.org/10.34219/2306-3645-2021-11-2-7-17" TargetMode="External" /><Relationship Type="http://schemas.openxmlformats.org/officeDocument/2006/relationships/hyperlink" Id="rId65" Target="https://doi.org/10.34219/2306-3645-2021-11-3-63-71" TargetMode="External" /><Relationship Type="http://schemas.openxmlformats.org/officeDocument/2006/relationships/hyperlink" Id="rId51" Target="https://fedstat.ru/indicator/417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iscomap.eea.europa.eu/App/AirQualityStatistics/index.html" TargetMode="External" /><Relationship Type="http://schemas.openxmlformats.org/officeDocument/2006/relationships/hyperlink" Id="rId57" Target="https://doi.org/10.1080/03610929708831995" TargetMode="External" /><Relationship Type="http://schemas.openxmlformats.org/officeDocument/2006/relationships/hyperlink" Id="rId59" Target="https://doi.org/10.1136/bmjopen-2022-067134" TargetMode="External" /><Relationship Type="http://schemas.openxmlformats.org/officeDocument/2006/relationships/hyperlink" Id="rId63" Target="https://doi.org/10.1177/0962280220930562" TargetMode="External" /><Relationship Type="http://schemas.openxmlformats.org/officeDocument/2006/relationships/hyperlink" Id="rId55" Target="https://doi.org/10.1186/s12889-021-11157-1" TargetMode="External" /><Relationship Type="http://schemas.openxmlformats.org/officeDocument/2006/relationships/hyperlink" Id="rId61" Target="https://doi.org/10.1186/s12916-018-1178-4" TargetMode="External" /><Relationship Type="http://schemas.openxmlformats.org/officeDocument/2006/relationships/hyperlink" Id="rId53" Target="https://doi.org/10.3390/v14122779" TargetMode="External" /><Relationship Type="http://schemas.openxmlformats.org/officeDocument/2006/relationships/hyperlink" Id="rId67" Target="https://doi.org/10.34219/2306-3645-2021-11-2-7-17" TargetMode="External" /><Relationship Type="http://schemas.openxmlformats.org/officeDocument/2006/relationships/hyperlink" Id="rId65" Target="https://doi.org/10.34219/2306-3645-2021-11-3-63-71" TargetMode="External" /><Relationship Type="http://schemas.openxmlformats.org/officeDocument/2006/relationships/hyperlink" Id="rId51" Target="https://fedstat.ru/indicator/417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MAPCLUST - СЕРВИС ДЛЯ ЭПИДЕМИОЛОГИЧЕСКОГО И ЭКОЛОГИЧЕСКОГО МОНИТОРИНГА</dc:title>
  <dc:creator>Смирнов Антон Сергеевич1,Захаров Олег Станиславович1,Пятницкий Алексей Михайлович1, Гукасов Вадим Михайлович2</dc:creator>
  <cp:keywords/>
  <dcterms:created xsi:type="dcterms:W3CDTF">2023-03-25T22:47:47Z</dcterms:created>
  <dcterms:modified xsi:type="dcterms:W3CDTF">2023-03-25T22:47:47Z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gost2.csl</vt:lpwstr>
  </property>
  <property fmtid="{D5CDD505-2E9C-101B-9397-08002B2CF9AE}" pid="7" name="editor">
    <vt:lpwstr>visual</vt:lpwstr>
  </property>
  <property fmtid="{D5CDD505-2E9C-101B-9397-08002B2CF9AE}" pid="8" name="fontsize">
    <vt:lpwstr>14pt</vt:lpwstr>
  </property>
  <property fmtid="{D5CDD505-2E9C-101B-9397-08002B2CF9AE}" pid="9" name="geometry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estretch">
    <vt:lpwstr>1.5</vt:lpwstr>
  </property>
  <property fmtid="{D5CDD505-2E9C-101B-9397-08002B2CF9AE}" pid="15" name="mainfont">
    <vt:lpwstr>Arial</vt:lpwstr>
  </property>
  <property fmtid="{D5CDD505-2E9C-101B-9397-08002B2CF9AE}" pid="16" name="monofont">
    <vt:lpwstr>Arial</vt:lpwstr>
  </property>
  <property fmtid="{D5CDD505-2E9C-101B-9397-08002B2CF9AE}" pid="17" name="sansfont">
    <vt:lpwstr>Arial</vt:lpwstr>
  </property>
  <property fmtid="{D5CDD505-2E9C-101B-9397-08002B2CF9AE}" pid="18" name="tbl-cap-location">
    <vt:lpwstr>top</vt:lpwstr>
  </property>
  <property fmtid="{D5CDD505-2E9C-101B-9397-08002B2CF9AE}" pid="19" name="toc-title">
    <vt:lpwstr>Оглавление</vt:lpwstr>
  </property>
</Properties>
</file>