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[3]</w:t>
      </w:r>
      <w:r>
        <w:t xml:space="preserve">. Самый известный метод сканирующей статистики – метод Куллдорфа</w:t>
      </w:r>
      <w:r>
        <w:t xml:space="preserve">[2]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[4]</w:t>
      </w:r>
      <w:r>
        <w:t xml:space="preserve">. Наш критерий не зависит от формы и размеров кластеров, позволяет регулировать свою чувствительность, осуществляет поиск нескольких кластеров при заданной ошибке первого рода.</w:t>
      </w:r>
    </w:p>
    <w:bookmarkEnd w:id="21"/>
    <w:bookmarkStart w:id="26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Исследуемая величина зависит от цели исследования: летальность заболевания, количество случаев, площадь лесных пожаров и многое другое. Данные должны быть представлены в специальном общеиспользуемом геоинформационном формате – ESRI Shapefile. Принцип поиска кластеров описан в статьях</w:t>
      </w:r>
      <w:r>
        <w:t xml:space="preserve">[5–8]</w:t>
      </w:r>
      <w:r>
        <w:t xml:space="preserve">. Для каждого региона рассчитывается значение p для сравнения величин в регионах (</w:t>
      </w:r>
      <w:hyperlink w:anchor="eq-p-spat">
        <w:r>
          <w:rPr>
            <w:rStyle w:val="Hyperlink"/>
          </w:rPr>
          <w:t xml:space="preserve">Equation 1</w:t>
        </w:r>
      </w:hyperlink>
      <w:r>
        <w:t xml:space="preserve">) или для сравнения моментов времени (</w:t>
      </w:r>
      <w:hyperlink w:anchor="eq-p-time">
        <w:r>
          <w:rPr>
            <w:rStyle w:val="Hyperlink"/>
          </w:rPr>
          <w:t xml:space="preserve">Equation 2</w:t>
        </w:r>
      </w:hyperlink>
      <w:r>
        <w:t xml:space="preserve">), где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функция Лапласа. Для каждой области, для которой p меньше или выше некоторого порога, заданного пользователем, рассчитываются статистики (</w:t>
      </w:r>
      <w:hyperlink w:anchor="eq-clust-stat">
        <w:r>
          <w:rPr>
            <w:rStyle w:val="Hyperlink"/>
          </w:rPr>
          <w:t xml:space="preserve">Equation 3</w:t>
        </w:r>
      </w:hyperlink>
      <w:r>
        <w:t xml:space="preserve">) для кластеров и (</w:t>
      </w:r>
      <w:hyperlink w:anchor="eq-discharges-stat">
        <w:r>
          <w:rPr>
            <w:rStyle w:val="Hyperlink"/>
          </w:rPr>
          <w:t xml:space="preserve">Equation 4</w:t>
        </w:r>
      </w:hyperlink>
      <w:r>
        <w:t xml:space="preserve">) для разряжений.</w:t>
      </w:r>
    </w:p>
    <w:p>
      <w:pPr>
        <w:pStyle w:val="BodyText"/>
      </w:pPr>
      <w:bookmarkStart w:id="22" w:name="eq-p-spat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-time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bookmarkStart w:id="24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bookmarkStart w:id="25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bookmarkEnd w:id="26"/>
    <w:bookmarkStart w:id="31" w:name="примеры-работы"/>
    <w:p>
      <w:pPr>
        <w:pStyle w:val="Heading1"/>
      </w:pPr>
      <w:r>
        <w:t xml:space="preserve">Примеры работы</w:t>
      </w:r>
    </w:p>
    <w:p>
      <w:pPr>
        <w:pStyle w:val="FirstParagraph"/>
      </w:pPr>
      <w:r>
        <w:t xml:space="preserve">Приведем несколько примеров работы. Для первого примера возьмем данные по заболеваемостью вирусом иммунодефицита человека (ВИЧ) в Российской Федерации (РФ) с портала ЕМИСС</w:t>
      </w:r>
      <w:r>
        <w:t xml:space="preserve">[1]</w:t>
      </w:r>
      <w:r>
        <w:t xml:space="preserve">. Веб-сервис может работать в двух режимах работы: пространственном и пространственно-временном. Пространственный режим заключается в поиске кластеров по величине, измерянной в регионах определенной местности. Пространственно-временной режим - поиск кластеров по разнице некоторой величины во времени. Для начала работы необходимо построить критическую область. Для этого необходимо загрузить все файлы из архива, выбрать количество итераций и задать пороговые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Если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программа соответственно будет искать разряжения или кластеры. Для примера возьмем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и запустим критерий для в первом режиме для данных 2005 года и в втором режиме для данных 2005 и 2006 года. Результаты представлены на</w:t>
      </w:r>
      <w:r>
        <w:t xml:space="preserve"> </w:t>
      </w:r>
      <w:hyperlink w:anchor="fig-fir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?@tbl-first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first"/>
          <w:p>
            <w:pPr>
              <w:jc w:val="center"/>
            </w:pPr>
            <w:r>
              <w:drawing>
                <wp:inline>
                  <wp:extent cx="5334000" cy="36024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sult_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0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Критическая область для обнаруженных кластеров и разряжений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Регионы, образующие значимые кластеры и разряжения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Регионы, образующие значимые кластеры и разряжения"/>
      </w:tblPr>
      <w:tblGrid>
        <w:gridCol w:w="1980"/>
        <w:gridCol w:w="3190"/>
        <w:gridCol w:w="27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Номер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Кластеры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Разряжения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Республика Адыгея; Архангельская область; Астраханская область; Белгородская область; Брянская область; Республика Дагестан; Республика Кабардино-Балкария; Республика Калмыкия; Республика Карачаево-Черкессия; Республика Карелия; Кировская область; Краснодарский край; Курская область; Ленинградская область; Липецкая область; Республика Марий Эл; Республика Мордовия; Ненецкий автономный округ; Орловская область; Пензенская область; Псковская область; Ростовская область; Рязанская область; Смоленская область; Ставропольский край; Тамбовская область; Владимирская область; Волгоградская область; Вологодская область; Воронежская область; Ярославская область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Республика Бурятия; Иркутская область; Забайкальский край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Амурская область; Чукотский автономный округ; Хабаровский край; Магаданская область; Республика Саха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Челябинская область; Ханты-Мансийский автономный округ; Оренбургская область; Самарская область; Саратовская область; Свердловская область; Тюменская область; Ульяновская область; Ямало-Ненецкий автономный округ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Республика Алтай; Республика Хакасия; Республика Тыва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Санкт-Петербург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Новосибирская область; Омская область; Томская область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Калининградская область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Кемеровская область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Москва; Московская область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Приморский край</w:t>
            </w:r>
          </w:p>
        </w:tc>
      </w:tr>
    </w:tbl>
    <w:bookmarkEnd w:id="31"/>
    <w:bookmarkStart w:id="32" w:name="заключение"/>
    <w:p>
      <w:pPr>
        <w:pStyle w:val="Heading1"/>
      </w:pPr>
      <w:r>
        <w:t xml:space="preserve">Заключение</w:t>
      </w:r>
    </w:p>
    <w:bookmarkEnd w:id="32"/>
    <w:bookmarkStart w:id="33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Keywords: MapClust; epidemiological monitoring; ecological monitoring; clustering algorithm.</w:t>
      </w:r>
    </w:p>
    <w:bookmarkEnd w:id="34"/>
    <w:bookmarkStart w:id="35" w:name="информация-об-авторах"/>
    <w:p>
      <w:pPr>
        <w:pStyle w:val="Heading1"/>
      </w:pPr>
      <w:r>
        <w:t xml:space="preserve">Информация об авторах</w:t>
      </w:r>
    </w:p>
    <w:bookmarkEnd w:id="3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37" w:name="ref-aleksandrova"/>
    <w:p>
      <w:pPr>
        <w:pStyle w:val="Bibliography"/>
      </w:pPr>
      <w:r>
        <w:t xml:space="preserve">1. Александрова Г.А.</w:t>
      </w:r>
      <w:r>
        <w:t xml:space="preserve"> </w:t>
      </w:r>
      <w:hyperlink r:id="rId36">
        <w:r>
          <w:rPr>
            <w:rStyle w:val="Hyperlink"/>
          </w:rPr>
          <w:t xml:space="preserve">Заболеваемость с впервые в жизни установленным диагнозом ВИЧ-инфекции на 100 тыс. Человек населения</w:t>
        </w:r>
      </w:hyperlink>
      <w:r>
        <w:t xml:space="preserve"> </w:t>
      </w:r>
      <w:r>
        <w:t xml:space="preserve">/ Г.А. Александрова.</w:t>
      </w:r>
    </w:p>
    <w:bookmarkEnd w:id="37"/>
    <w:bookmarkStart w:id="39" w:name="ref-kulldorff1997"/>
    <w:p>
      <w:pPr>
        <w:pStyle w:val="Bibliography"/>
      </w:pPr>
      <w:r>
        <w:t xml:space="preserve">2. Kulldorff M.</w:t>
      </w:r>
      <w:r>
        <w:t xml:space="preserve"> </w:t>
      </w:r>
      <w:hyperlink r:id="rId38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39"/>
    <w:bookmarkStart w:id="41" w:name="ref-shaweno2018"/>
    <w:p>
      <w:pPr>
        <w:pStyle w:val="Bibliography"/>
      </w:pPr>
      <w:r>
        <w:t xml:space="preserve">3. Shaweno D.</w:t>
      </w:r>
      <w:r>
        <w:t xml:space="preserve"> </w:t>
      </w:r>
      <w:hyperlink r:id="rId40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41"/>
    <w:bookmarkStart w:id="43" w:name="ref-tango2021"/>
    <w:p>
      <w:pPr>
        <w:pStyle w:val="Bibliography"/>
      </w:pPr>
      <w:r>
        <w:t xml:space="preserve">4. Tango T.</w:t>
      </w:r>
      <w:r>
        <w:t xml:space="preserve"> </w:t>
      </w:r>
      <w:hyperlink r:id="rId42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43"/>
    <w:bookmarkStart w:id="45" w:name="ref-pyatnitskiy2021_2"/>
    <w:p>
      <w:pPr>
        <w:pStyle w:val="Bibliography"/>
      </w:pPr>
      <w:r>
        <w:t xml:space="preserve">5. Pyatnitskiy A.M.</w:t>
      </w:r>
      <w:r>
        <w:t xml:space="preserve"> </w:t>
      </w:r>
      <w:hyperlink r:id="rId44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45"/>
    <w:bookmarkStart w:id="47" w:name="ref-pyatnitskiy2021_1"/>
    <w:p>
      <w:pPr>
        <w:pStyle w:val="Bibliography"/>
      </w:pPr>
      <w:r>
        <w:t xml:space="preserve">6. Pyatnitskiy A.M.</w:t>
      </w:r>
      <w:r>
        <w:t xml:space="preserve"> </w:t>
      </w:r>
      <w:hyperlink r:id="rId46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47"/>
    <w:bookmarkStart w:id="48" w:name="ref-pyatnickiy2020_1"/>
    <w:p>
      <w:pPr>
        <w:pStyle w:val="Bibliography"/>
      </w:pPr>
      <w:r>
        <w:t xml:space="preserve">7.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48"/>
    <w:bookmarkStart w:id="49" w:name="ref-pyatnickiy2020_2"/>
    <w:p>
      <w:pPr>
        <w:pStyle w:val="Bibliography"/>
      </w:pPr>
      <w:r>
        <w:t xml:space="preserve">8.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8" Target="https://doi.org/10.1080/03610929708831995" TargetMode="External" /><Relationship Type="http://schemas.openxmlformats.org/officeDocument/2006/relationships/hyperlink" Id="rId42" Target="https://doi.org/10.1177/0962280220930562" TargetMode="External" /><Relationship Type="http://schemas.openxmlformats.org/officeDocument/2006/relationships/hyperlink" Id="rId40" Target="https://doi.org/10.1186/s12916-018-1178-4" TargetMode="External" /><Relationship Type="http://schemas.openxmlformats.org/officeDocument/2006/relationships/hyperlink" Id="rId46" Target="https://doi.org/10.34219/2306-3645-2021-11-2-7-17" TargetMode="External" /><Relationship Type="http://schemas.openxmlformats.org/officeDocument/2006/relationships/hyperlink" Id="rId44" Target="https://doi.org/10.34219/2306-3645-2021-11-3-63-71" TargetMode="External" /><Relationship Type="http://schemas.openxmlformats.org/officeDocument/2006/relationships/hyperlink" Id="rId36" Target="https://fedstat.ru/indicator/417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80/03610929708831995" TargetMode="External" /><Relationship Type="http://schemas.openxmlformats.org/officeDocument/2006/relationships/hyperlink" Id="rId42" Target="https://doi.org/10.1177/0962280220930562" TargetMode="External" /><Relationship Type="http://schemas.openxmlformats.org/officeDocument/2006/relationships/hyperlink" Id="rId40" Target="https://doi.org/10.1186/s12916-018-1178-4" TargetMode="External" /><Relationship Type="http://schemas.openxmlformats.org/officeDocument/2006/relationships/hyperlink" Id="rId46" Target="https://doi.org/10.34219/2306-3645-2021-11-2-7-17" TargetMode="External" /><Relationship Type="http://schemas.openxmlformats.org/officeDocument/2006/relationships/hyperlink" Id="rId44" Target="https://doi.org/10.34219/2306-3645-2021-11-3-63-71" TargetMode="External" /><Relationship Type="http://schemas.openxmlformats.org/officeDocument/2006/relationships/hyperlink" Id="rId36" Target="https://fedstat.ru/indicator/41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2023-03-24T14:49:45Z</dcterms:created>
  <dcterms:modified xsi:type="dcterms:W3CDTF">2023-03-24T14:49:45Z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gost2.csl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