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[7]</w:t>
      </w:r>
      <w:r>
        <w:t xml:space="preserve">. Самый известный метод сканирующей статистики – метод Куллдорфа</w:t>
      </w:r>
      <w:r>
        <w:t xml:space="preserve">[5]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[3; 4; 6]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[8]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</w:t>
      </w:r>
      <w:r>
        <w:t xml:space="preserve">[9–12]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(</w:t>
      </w:r>
      <w:hyperlink w:anchor="eq-clust-stat">
        <w:r>
          <w:rPr>
            <w:rStyle w:val="Hyperlink"/>
          </w:rPr>
          <w:t xml:space="preserve">Equation 3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4</w:t>
        </w:r>
      </w:hyperlink>
      <w:r>
        <w:t xml:space="preserve">) для разряжений.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43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[2]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кластеров обозначены черными линиями</w:t>
            </w:r>
          </w:p>
          <w:bookmarkEnd w:id="34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third"/>
          <w:p>
            <w:pPr>
              <w:jc w:val="center"/>
            </w:pPr>
            <w:r>
              <w:drawing>
                <wp:inline>
                  <wp:extent cx="5334000" cy="314909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49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8"/>
        </w:tc>
      </w:tr>
    </w:tbl>
    <w:p>
      <w:pPr>
        <w:pStyle w:val="BodyText"/>
      </w:pPr>
      <w:r>
        <w:t xml:space="preserve">В качестве задачи экологического мониторинга рассмотрим поиск очагов ухудшения качества воздуха в Румынии. Данные взяты с сайта Европейского агентства по окружающей среде</w:t>
      </w:r>
      <w:r>
        <w:t xml:space="preserve">[1]</w:t>
      </w:r>
      <w:r>
        <w:t xml:space="preserve">. В качестве показателя, отображающего качество воздуха, возьмем концентрацию частиц диаметром меньше или равного 10 микрометрам (PM10). Рассмотрим, как изменилось качество воздуха с 2018 по 2021 год.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Результат представлен на</w:t>
      </w:r>
      <w:r>
        <w:t xml:space="preserve"> </w:t>
      </w:r>
      <w:hyperlink w:anchor="fig-fourth">
        <w:r>
          <w:rPr>
            <w:rStyle w:val="Hyperlink"/>
          </w:rPr>
          <w:t xml:space="preserve">Figure 4</w:t>
        </w:r>
      </w:hyperlink>
      <w:r>
        <w:t xml:space="preserve">. В целом обстановка с качеством воздуха в Румынии удолетворительная, за исключением центрального промышленного района Плоешти и Брашова.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fourth"/>
          <w:p>
            <w:pPr>
              <w:jc w:val="center"/>
            </w:pPr>
            <w:r>
              <w:drawing>
                <wp:inline>
                  <wp:extent cx="5334000" cy="2678158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sult_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8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Сравнение PM10 в Румынии за 2018 и 2021 год.</w:t>
            </w:r>
          </w:p>
          <w:bookmarkEnd w:id="42"/>
        </w:tc>
      </w:tr>
    </w:tbl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Данный веб-сервис является мощным инструментом для кластеризации пространственных и пространственно-временных данных. Данный сервис доступен по адресу https://epidemmonitor.ru/MapClust/ . Кроме этого, код сервиса для локального использования по адресу https://github.com/SmirnygaTotoshka/MapClust . Подробная инструкция и тестовые данные представлены на сайте. Ограничения для онлайн-использования - 100 Мб. В дальнейших планах у авторов разработать пакет для языка программирования R и распространить используемый подход на другие типы данных.</w:t>
      </w:r>
    </w:p>
    <w:bookmarkEnd w:id="44"/>
    <w:bookmarkStart w:id="45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5"/>
    <w:bookmarkStart w:id="4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article is the MapClust description. The MapClust is web-service for clusterisation of spatial and spatio-temporal data and it is authors previous research practical realisation. We demostrate web-service work on epidemiological and ecological monitoring tasks.</w:t>
      </w:r>
    </w:p>
    <w:p>
      <w:pPr>
        <w:pStyle w:val="BodyText"/>
      </w:pPr>
      <w:r>
        <w:t xml:space="preserve">Keywords: MapClust; epidemiological monitoring; ecological monitoring; clustering algorithm.</w:t>
      </w:r>
    </w:p>
    <w:bookmarkEnd w:id="46"/>
    <w:bookmarkStart w:id="47" w:name="информация-об-авторах"/>
    <w:p>
      <w:pPr>
        <w:pStyle w:val="Heading1"/>
      </w:pPr>
      <w:r>
        <w:t xml:space="preserve">Информация об авторах</w:t>
      </w:r>
    </w:p>
    <w:p>
      <w:pPr>
        <w:numPr>
          <w:ilvl w:val="0"/>
          <w:numId w:val="1001"/>
        </w:numPr>
      </w:pPr>
      <w:r>
        <w:t xml:space="preserve">Смирнов Антон Сергеевич – студент 6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Захаров Олег Станиславович – студент 2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Пятницкий Алексей Михайлович – доцент кафедры высшей математики МБФ РНИМУ, кандидат физико-математических наук, Москва.</w:t>
      </w:r>
    </w:p>
    <w:p>
      <w:pPr>
        <w:numPr>
          <w:ilvl w:val="0"/>
          <w:numId w:val="1001"/>
        </w:numPr>
      </w:pPr>
      <w:r>
        <w:t xml:space="preserve">Гукасов Вадим Михайлович – доктор биологических наук, главный научный сотрудник Государственного центра экспертизы в сфере науки и инноваций, ФГБНУ НИИ Республиканский исследовательский научно-консультационный центр экспертизы (ФГБНУ НИИ РИНКЦЭ) Министерства науки и высшего образования России, Москва</w:t>
      </w:r>
    </w:p>
    <w:bookmarkEnd w:id="47"/>
    <w:bookmarkStart w:id="48" w:name="контактное-лицо"/>
    <w:p>
      <w:pPr>
        <w:pStyle w:val="Heading1"/>
      </w:pPr>
      <w:r>
        <w:t xml:space="preserve">Контактное лицо</w:t>
      </w:r>
    </w:p>
    <w:p>
      <w:pPr>
        <w:pStyle w:val="FirstParagraph"/>
      </w:pPr>
      <w:r>
        <w:t xml:space="preserve">Смирнов Антон Сергеевич, +79109522086, e-mail: anton.smirnov.9910@gmail.com</w:t>
      </w:r>
    </w:p>
    <w:bookmarkEnd w:id="4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50" w:name="ref-annuala"/>
    <w:p>
      <w:pPr>
        <w:pStyle w:val="Bibliography"/>
      </w:pPr>
      <w:r>
        <w:t xml:space="preserve">1.</w:t>
      </w:r>
      <w:r>
        <w:t xml:space="preserve"> </w:t>
      </w:r>
      <w:hyperlink r:id="rId49">
        <w:r>
          <w:rPr>
            <w:rStyle w:val="Hyperlink"/>
          </w:rPr>
          <w:t xml:space="preserve">Annual AQ statistics (AirBase &amp; e-reporting merged)</w:t>
        </w:r>
      </w:hyperlink>
      <w:r>
        <w:t xml:space="preserve">.</w:t>
      </w:r>
    </w:p>
    <w:bookmarkEnd w:id="50"/>
    <w:bookmarkStart w:id="52" w:name="ref-aleksandrova"/>
    <w:p>
      <w:pPr>
        <w:pStyle w:val="Bibliography"/>
      </w:pPr>
      <w:r>
        <w:t xml:space="preserve">2. Александрова Г.А.</w:t>
      </w:r>
      <w:r>
        <w:t xml:space="preserve"> </w:t>
      </w:r>
      <w:hyperlink r:id="rId51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52"/>
    <w:bookmarkStart w:id="54" w:name="ref-ito2022"/>
    <w:p>
      <w:pPr>
        <w:pStyle w:val="Bibliography"/>
      </w:pPr>
      <w:r>
        <w:t xml:space="preserve">3. Ito S.</w:t>
      </w:r>
      <w:r>
        <w:t xml:space="preserve"> </w:t>
      </w:r>
      <w:hyperlink r:id="rId53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54"/>
    <w:bookmarkStart w:id="56" w:name="ref-kiani2021"/>
    <w:p>
      <w:pPr>
        <w:pStyle w:val="Bibliography"/>
      </w:pPr>
      <w:r>
        <w:t xml:space="preserve">4. Kiani B.</w:t>
      </w:r>
      <w:r>
        <w:t xml:space="preserve"> </w:t>
      </w:r>
      <w:hyperlink r:id="rId55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56"/>
    <w:bookmarkStart w:id="58" w:name="ref-kulldorff1997"/>
    <w:p>
      <w:pPr>
        <w:pStyle w:val="Bibliography"/>
      </w:pPr>
      <w:r>
        <w:t xml:space="preserve">5. Kulldorff M.</w:t>
      </w:r>
      <w:r>
        <w:t xml:space="preserve"> </w:t>
      </w:r>
      <w:hyperlink r:id="rId57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8"/>
    <w:bookmarkStart w:id="60" w:name="ref-odhiambo2023"/>
    <w:p>
      <w:pPr>
        <w:pStyle w:val="Bibliography"/>
      </w:pPr>
      <w:r>
        <w:t xml:space="preserve">6. Odhiambo J.N.</w:t>
      </w:r>
      <w:r>
        <w:t xml:space="preserve"> </w:t>
      </w:r>
      <w:hyperlink r:id="rId59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60"/>
    <w:bookmarkStart w:id="62" w:name="ref-shaweno2018"/>
    <w:p>
      <w:pPr>
        <w:pStyle w:val="Bibliography"/>
      </w:pPr>
      <w:r>
        <w:t xml:space="preserve">7. Shaweno D.</w:t>
      </w:r>
      <w:r>
        <w:t xml:space="preserve"> </w:t>
      </w:r>
      <w:hyperlink r:id="rId61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62"/>
    <w:bookmarkStart w:id="64" w:name="ref-tango2021"/>
    <w:p>
      <w:pPr>
        <w:pStyle w:val="Bibliography"/>
      </w:pPr>
      <w:r>
        <w:t xml:space="preserve">8. Tango T.</w:t>
      </w:r>
      <w:r>
        <w:t xml:space="preserve"> </w:t>
      </w:r>
      <w:hyperlink r:id="rId63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64"/>
    <w:bookmarkStart w:id="66" w:name="ref-pyatnitskiy2021_2"/>
    <w:p>
      <w:pPr>
        <w:pStyle w:val="Bibliography"/>
      </w:pPr>
      <w:r>
        <w:t xml:space="preserve">9. Pyatnitskiy A.M.</w:t>
      </w:r>
      <w:r>
        <w:t xml:space="preserve"> </w:t>
      </w:r>
      <w:hyperlink r:id="rId65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66"/>
    <w:bookmarkStart w:id="68" w:name="ref-pyatnitskiy2021_1"/>
    <w:p>
      <w:pPr>
        <w:pStyle w:val="Bibliography"/>
      </w:pPr>
      <w:r>
        <w:t xml:space="preserve">10. Pyatnitskiy A.M.</w:t>
      </w:r>
      <w:r>
        <w:t xml:space="preserve"> </w:t>
      </w:r>
      <w:hyperlink r:id="rId67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8"/>
    <w:bookmarkStart w:id="69" w:name="ref-pyatnickiy2020_1"/>
    <w:p>
      <w:pPr>
        <w:pStyle w:val="Bibliography"/>
      </w:pPr>
      <w:r>
        <w:t xml:space="preserve">11.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9"/>
    <w:bookmarkStart w:id="70" w:name="ref-pyatnickiy2020_2"/>
    <w:p>
      <w:pPr>
        <w:pStyle w:val="Bibliography"/>
      </w:pPr>
      <w:r>
        <w:t xml:space="preserve">12.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2023-03-25T22:38:45Z</dcterms:created>
  <dcterms:modified xsi:type="dcterms:W3CDTF">2023-03-25T22:38:45Z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