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MAPCLUST</w:t>
      </w:r>
      <w:r>
        <w:t xml:space="preserve"> </w:t>
      </w:r>
      <w:r>
        <w:t xml:space="preserve">-</w:t>
      </w:r>
      <w:r>
        <w:t xml:space="preserve"> </w:t>
      </w:r>
      <w:r>
        <w:t xml:space="preserve">СЕРВИС</w:t>
      </w:r>
      <w:r>
        <w:t xml:space="preserve"> </w:t>
      </w:r>
      <w:r>
        <w:t xml:space="preserve">ДЛЯ</w:t>
      </w:r>
      <w:r>
        <w:t xml:space="preserve"> </w:t>
      </w:r>
      <w:r>
        <w:t xml:space="preserve">ЭПИДЕМИОЛОГИЧЕСКОГО</w:t>
      </w:r>
      <w:r>
        <w:t xml:space="preserve"> </w:t>
      </w:r>
      <w:r>
        <w:t xml:space="preserve">И</w:t>
      </w:r>
      <w:r>
        <w:t xml:space="preserve"> </w:t>
      </w:r>
      <w:r>
        <w:t xml:space="preserve">ЭКОЛОГИЧЕСКОГО</w:t>
      </w:r>
      <w:r>
        <w:t xml:space="preserve"> </w:t>
      </w:r>
      <w:r>
        <w:t xml:space="preserve">МОНИТОРИНГА</w:t>
      </w:r>
    </w:p>
    <w:p>
      <w:pPr>
        <w:pStyle w:val="Author"/>
      </w:pPr>
      <w:r>
        <w:t xml:space="preserve">Смирнов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Сергеевич</w:t>
      </w:r>
      <w:r>
        <w:rPr>
          <w:vertAlign w:val="superscript"/>
        </w:rPr>
        <w:t xml:space="preserve">1</w:t>
      </w:r>
      <w:r>
        <w:t xml:space="preserve">,Захаров</w:t>
      </w:r>
      <w:r>
        <w:t xml:space="preserve"> </w:t>
      </w:r>
      <w:r>
        <w:t xml:space="preserve">Олег</w:t>
      </w:r>
      <w:r>
        <w:t xml:space="preserve"> </w:t>
      </w:r>
      <w:r>
        <w:t xml:space="preserve">Станиславович</w:t>
      </w:r>
      <w:r>
        <w:rPr>
          <w:vertAlign w:val="superscript"/>
        </w:rPr>
        <w:t xml:space="preserve">1</w:t>
      </w:r>
      <w:r>
        <w:t xml:space="preserve">,Пятницкий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Михайлович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Гукасов</w:t>
      </w:r>
      <w:r>
        <w:t xml:space="preserve"> </w:t>
      </w:r>
      <w:r>
        <w:t xml:space="preserve">Вадим</w:t>
      </w:r>
      <w:r>
        <w:t xml:space="preserve"> </w:t>
      </w:r>
      <w:r>
        <w:t xml:space="preserve">Михайлович</w:t>
      </w:r>
      <w:r>
        <w:rPr>
          <w:vertAlign w:val="superscript"/>
        </w:rPr>
        <w:t xml:space="preserve">2</w:t>
      </w:r>
    </w:p>
    <w:p>
      <w:pPr>
        <w:pStyle w:val="FirstParagraph"/>
      </w:pPr>
      <w:r>
        <w:t xml:space="preserve">1 - РНИМУ им. Н.И. Пирогова, Москва, 2 - ФГБНУ НИИ РИНКЦЭ, Москва</w:t>
      </w:r>
    </w:p>
    <w:bookmarkStart w:id="20" w:name="аннотация"/>
    <w:p>
      <w:pPr>
        <w:pStyle w:val="Heading1"/>
      </w:pPr>
      <w:r>
        <w:t xml:space="preserve">Аннотация</w:t>
      </w:r>
    </w:p>
    <w:p>
      <w:pPr>
        <w:pStyle w:val="FirstParagraph"/>
      </w:pPr>
      <w:r>
        <w:t xml:space="preserve">Эта статья посвящена описанию разработанного авторами веб-сервиса для кластеризации пространственных и пространственно-временных данных MapClust. MapClust является практической реализацией исследований, проведенных нами в предыдущих работах. В этой работе мы демонстрируем применение сервиса для решения задач эпидемиологического и экологического мониторинга.</w:t>
      </w:r>
    </w:p>
    <w:p>
      <w:pPr>
        <w:pStyle w:val="BodyText"/>
      </w:pPr>
      <w:r>
        <w:t xml:space="preserve">Ключевые слова: MapClust; эпидемиологический мониторинг; экологический мониторинг; алгоритм кластеризации.</w:t>
      </w:r>
    </w:p>
    <w:bookmarkEnd w:id="20"/>
    <w:bookmarkStart w:id="21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t xml:space="preserve">Поиск кластеров в пространственных данных является нетривиальной задачей, решение которой важно для мониторинга ситуации в некоторой изучаемой области. В текущий момент, в связи с неблагоприятной эпидемиологической и экологической ситуацией в мире остро стоит задача обнаружения областей, на которые в первую очередь необходимо обратить внимание для принятия мер. Один из наиболее популярных видов методов поиска кластеров, например, в анализе эпидемиологии туберкулеза – сканирующие статистики</w:t>
      </w:r>
      <w:r>
        <w:t xml:space="preserve">[1]</w:t>
      </w:r>
      <w:r>
        <w:t xml:space="preserve">. Самый известный метод сканирующей статистики – метод Куллдорфа</w:t>
      </w:r>
      <w:r>
        <w:t xml:space="preserve">[2]</w:t>
      </w:r>
      <w:r>
        <w:t xml:space="preserve">. Этот метод широко используется в современных эпидемиологических исследованиях</w:t>
      </w:r>
      <w:r>
        <w:t xml:space="preserve">[3–5]</w:t>
      </w:r>
      <w:r>
        <w:t xml:space="preserve">. Однако, метод зависит от формы и размера сканирующую окна, выдает один наиболее вероятный кластер и обладает довольно большой вероятностью ложноположительного результата, то есть в кластеры часто попадают области, которые не имеют никакого отношения к ним</w:t>
      </w:r>
      <w:r>
        <w:t xml:space="preserve">[6]</w:t>
      </w:r>
      <w:r>
        <w:t xml:space="preserve">.</w:t>
      </w:r>
    </w:p>
    <w:p>
      <w:pPr>
        <w:pStyle w:val="BodyText"/>
      </w:pPr>
      <w:r>
        <w:t xml:space="preserve">Для преодоления этих ограничений был разработан MapClust, новый веб-сервис для кластеризации пространственных и пространственно-временных данных. MapClust обладает рядом преимуществ по сравнению с существующими методами. Во-первых, он не зависит от формы и размера кластера, что позволяет более точно определять кластеры с различной структурой. Во-вторых, он позволяет пользователю регулировать чувствительность алгоритма, обеспечивая лучший контроль над балансом между ложноположительными и ложноотрицательными результатами. Наконец, MapClust разработан для одновременного поиска нескольких кластеров при сохранении заданной величины ошибок I рода, что позволяет получить более полное представление о данных.</w:t>
      </w:r>
    </w:p>
    <w:p>
      <w:pPr>
        <w:pStyle w:val="BodyText"/>
      </w:pPr>
      <w:r>
        <w:t xml:space="preserve">Данная работа организована следующим образом: сначала мы описываем принципы работы алгоритма MapClust, включая расчеты для определения p-значений и уравнения, используемые для обнаружения и оценки кластеров. Далее мы приводим несколько примеров и приложений, демонстрирующих использование MapClust для задач эпидемиологического и экологического мониторинга. Наконец, в заключение мы суммируем ключевой вклад и выводы данного исследования, а также обсуждаем практические последствия применения метода MapClust в различных областях.</w:t>
      </w:r>
    </w:p>
    <w:bookmarkEnd w:id="21"/>
    <w:bookmarkStart w:id="22" w:name="принцип-работы"/>
    <w:p>
      <w:pPr>
        <w:pStyle w:val="Heading1"/>
      </w:pPr>
      <w:r>
        <w:t xml:space="preserve">Принцип работы</w:t>
      </w:r>
    </w:p>
    <w:p>
      <w:pPr>
        <w:pStyle w:val="FirstParagraph"/>
      </w:pPr>
      <w:r>
        <w:t xml:space="preserve">Принцип поиска кластеров описан в статьях</w:t>
      </w:r>
      <w:r>
        <w:t xml:space="preserve">[7–10]</w:t>
      </w:r>
      <w:r>
        <w:t xml:space="preserve">. При изучении пространственно-временной изменчивости в числах событий используются два представления исходных данных:</w:t>
      </w:r>
    </w:p>
    <w:p>
      <w:pPr>
        <w:numPr>
          <w:ilvl w:val="0"/>
          <w:numId w:val="1001"/>
        </w:numPr>
        <w:pStyle w:val="Compact"/>
      </w:pPr>
      <w:r>
        <w:t xml:space="preserve">event-based datа, когда известны координаты событий (точечные данные)</w:t>
      </w:r>
    </w:p>
    <w:p>
      <w:pPr>
        <w:numPr>
          <w:ilvl w:val="0"/>
          <w:numId w:val="1001"/>
        </w:numPr>
        <w:pStyle w:val="Compact"/>
      </w:pPr>
      <w:r>
        <w:t xml:space="preserve">population-based data, когда известно лишь общее число событий в каждой области за определенный промежуток времени (частотные данные).</w:t>
      </w:r>
    </w:p>
    <w:p>
      <w:pPr>
        <w:pStyle w:val="FirstParagraph"/>
      </w:pPr>
      <w:r>
        <w:t xml:space="preserve">Предлагаемый критерий может быть использован в обоих случаях, однако, данный сервис предполагает работу только с частотными данными.Даны частоты событий для каждой i-ой области, обозначим их</w:t>
      </w:r>
      <w:r>
        <w:t xml:space="preserve"> </w:t>
      </w:r>
      <m:oMath>
        <m:sSub>
          <m:e>
            <m:r>
              <m:t>O</m:t>
            </m:r>
          </m:e>
          <m:sub>
            <m:r>
              <m:t>i</m:t>
            </m:r>
          </m:sub>
        </m:sSub>
      </m:oMath>
      <w:r>
        <w:t xml:space="preserve">. Возможны две постановки задачи:</w:t>
      </w:r>
    </w:p>
    <w:p>
      <w:pPr>
        <w:numPr>
          <w:ilvl w:val="0"/>
          <w:numId w:val="1002"/>
        </w:numPr>
        <w:pStyle w:val="Compact"/>
      </w:pPr>
      <w:r>
        <w:t xml:space="preserve">разыскиваем пространственные неоднородности в один и тот же момент времени (hot spots, cold spots, то есть кластеры и разряжения)</w:t>
      </w:r>
    </w:p>
    <w:p>
      <w:pPr>
        <w:numPr>
          <w:ilvl w:val="0"/>
          <w:numId w:val="1002"/>
        </w:numPr>
        <w:pStyle w:val="Compact"/>
      </w:pPr>
      <w:r>
        <w:t xml:space="preserve">разыскиваем области, в которых количество событий значимо увеличилось или уменьшилось.</w:t>
      </w:r>
    </w:p>
    <w:p>
      <w:pPr>
        <w:pStyle w:val="FirstParagraph"/>
      </w:pPr>
      <w:r>
        <w:t xml:space="preserve">В первом случае области должны быть выбраны так, чтобы численности популяций в них были одинаковы. Во втором случае области произвольны и могут, например, соответствовать административным регионам (предполагается, что размер популяции в каждой области не изменился).</w:t>
      </w:r>
    </w:p>
    <w:p>
      <w:pPr>
        <w:numPr>
          <w:ilvl w:val="0"/>
          <w:numId w:val="1003"/>
        </w:numPr>
      </w:pPr>
      <w:r>
        <w:t xml:space="preserve">Даны частоты для каждой области, назовем их</w:t>
      </w:r>
      <w:r>
        <w:t xml:space="preserve"> </w:t>
      </w:r>
      <m:oMath>
        <m:r>
          <m:t>O</m:t>
        </m:r>
      </m:oMath>
    </w:p>
    <w:p>
      <w:pPr>
        <w:numPr>
          <w:ilvl w:val="0"/>
          <w:numId w:val="1003"/>
        </w:numPr>
      </w:pPr>
      <w:r>
        <w:t xml:space="preserve">Допустим, размеры популяций в каждой области одинаковыми и средняя частота по всем ячейкам не мала</w:t>
      </w:r>
      <w:r>
        <w:t xml:space="preserve"> </w:t>
      </w:r>
      <m:oMath>
        <m:bar>
          <m:barPr>
            <m:pos m:val="top"/>
          </m:barPr>
          <m:e>
            <m:r>
              <m:t>O</m:t>
            </m:r>
          </m:e>
        </m:bar>
        <m:r>
          <m:rPr>
            <m:sty m:val="p"/>
          </m:rPr>
          <m:t>&gt;</m:t>
        </m:r>
        <m:r>
          <m:t>5</m:t>
        </m:r>
      </m:oMath>
    </w:p>
    <w:p>
      <w:pPr>
        <w:numPr>
          <w:ilvl w:val="0"/>
          <w:numId w:val="1003"/>
        </w:numPr>
      </w:pPr>
      <w:r>
        <w:t xml:space="preserve">Тогда для каждой области вводятся вероятности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(см. ниже), которые в случае справедливости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имеют равномерное распределение и две пороговые вероятности</w:t>
      </w:r>
      <w:r>
        <w:t xml:space="preserve"> </w:t>
      </w:r>
      <m:oMath>
        <m:sSub>
          <m:e>
            <m:r>
              <m:t>p</m:t>
            </m:r>
          </m:e>
          <m:sub>
            <m:r>
              <m:t>d</m:t>
            </m:r>
            <m:r>
              <m:t>o</m:t>
            </m:r>
            <m:r>
              <m:t>w</m:t>
            </m:r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u</m:t>
            </m:r>
            <m:r>
              <m:t>p</m:t>
            </m:r>
          </m:sub>
        </m:sSub>
      </m:oMath>
      <w:r>
        <w:t xml:space="preserve">. Пороговые вероятности выделяют области, для которых есть подозрение на то, что имеется неоднородность (кластер или разряжение, увеличение частоты событий с течением времени или уменьшение).</w:t>
      </w:r>
    </w:p>
    <w:p>
      <w:pPr>
        <w:numPr>
          <w:ilvl w:val="1"/>
          <w:numId w:val="1004"/>
        </w:numPr>
      </w:pPr>
      <w:r>
        <w:t xml:space="preserve">Для пространственной неоднородности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Φ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O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bar>
                    <m:barPr>
                      <m:pos m:val="top"/>
                    </m:barPr>
                    <m:e>
                      <m:r>
                        <m:t>O</m:t>
                      </m:r>
                    </m:e>
                  </m:bar>
                </m:num>
                <m:den>
                  <m:rad>
                    <m:radPr>
                      <m:degHide m:val="1"/>
                    </m:radPr>
                    <m:deg/>
                    <m:e>
                      <m:bar>
                        <m:barPr>
                          <m:pos m:val="top"/>
                        </m:barPr>
                        <m:e>
                          <m:r>
                            <m:t>O</m:t>
                          </m:r>
                        </m:e>
                      </m:bar>
                    </m:e>
                  </m:rad>
                </m:den>
              </m:f>
            </m:e>
          </m:d>
        </m:oMath>
      </m:oMathPara>
    </w:p>
    <w:p>
      <w:pPr>
        <w:numPr>
          <w:ilvl w:val="1"/>
          <w:numId w:val="1004"/>
        </w:numPr>
      </w:pPr>
      <w:r>
        <w:t xml:space="preserve">Для сравнения моментов времени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Φ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Sup>
                    <m:e>
                      <m:r>
                        <m:t>O</m:t>
                      </m:r>
                    </m:e>
                    <m:sub>
                      <m:r>
                        <m:t>i</m:t>
                      </m:r>
                    </m:sub>
                    <m:sup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sup>
                  </m:sSubSup>
                  <m:r>
                    <m:rPr>
                      <m:sty m:val="p"/>
                    </m:rPr>
                    <m:t>−</m:t>
                  </m:r>
                  <m:sSubSup>
                    <m:e>
                      <m:r>
                        <m:t>O</m:t>
                      </m:r>
                    </m:e>
                    <m:sub>
                      <m:r>
                        <m:t>i</m:t>
                      </m:r>
                    </m:sub>
                    <m:sup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sup>
                  </m:sSubSup>
                </m:num>
                <m:den>
                  <m:rad>
                    <m:radPr>
                      <m:degHide m:val="1"/>
                    </m:radPr>
                    <m:deg/>
                    <m:e>
                      <m:sSubSup>
                        <m:e>
                          <m:r>
                            <m:t>O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sSub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O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sSub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sup>
                      </m:sSubSup>
                    </m:e>
                  </m:rad>
                </m:den>
              </m:f>
            </m:e>
          </m:d>
        </m:oMath>
      </m:oMathPara>
    </w:p>
    <w:p>
      <w:pPr>
        <w:numPr>
          <w:ilvl w:val="1"/>
          <w:numId w:val="1004"/>
        </w:numPr>
      </w:pPr>
      <m:oMath>
        <m:r>
          <m:t>Φ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 </w:t>
      </w:r>
      <w:r>
        <w:t xml:space="preserve">- функция Лапласа.</w:t>
      </w:r>
    </w:p>
    <w:p>
      <w:pPr>
        <w:numPr>
          <w:ilvl w:val="0"/>
          <w:numId w:val="1003"/>
        </w:numPr>
      </w:pPr>
      <w:r>
        <w:t xml:space="preserve">Соприкасающиеся ячейки(группы), попадающие в диапазон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sSub>
              <m:e>
                <m:r>
                  <m:t>p</m:t>
                </m:r>
              </m:e>
              <m:sub>
                <m:r>
                  <m:t>d</m:t>
                </m:r>
                <m:r>
                  <m:t>o</m:t>
                </m:r>
                <m:r>
                  <m:t>w</m:t>
                </m:r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- разряжения</w:t>
      </w:r>
    </w:p>
    <w:p>
      <w:pPr>
        <w:numPr>
          <w:ilvl w:val="0"/>
          <w:numId w:val="1003"/>
        </w:numPr>
      </w:pPr>
      <w:r>
        <w:t xml:space="preserve">Соприкасающиеся ячейки(группы), попадающие в диапазон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sSub>
              <m:e>
                <m:r>
                  <m:t>p</m:t>
                </m:r>
              </m:e>
              <m:sub>
                <m:r>
                  <m:t>u</m:t>
                </m:r>
                <m:r>
                  <m:t>p</m:t>
                </m:r>
              </m:sub>
            </m:sSub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- кластеры</w:t>
      </w:r>
    </w:p>
    <w:p>
      <w:pPr>
        <w:numPr>
          <w:ilvl w:val="0"/>
          <w:numId w:val="1003"/>
        </w:numPr>
      </w:pPr>
      <w:r>
        <w:t xml:space="preserve">Статистика для кластеров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ln</m:t>
              </m:r>
              <m:f>
                <m:fPr>
                  <m:type m:val="bar"/>
                </m:fPr>
                <m:num>
                  <m:sSub>
                    <m:e>
                      <m:r>
                        <m:t>p</m:t>
                      </m:r>
                    </m:e>
                    <m:sub>
                      <m:r>
                        <m:t>k</m:t>
                      </m:r>
                    </m:sub>
                  </m:sSub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d</m:t>
                      </m:r>
                      <m:r>
                        <m:t>o</m:t>
                      </m:r>
                      <m:r>
                        <m:t>w</m:t>
                      </m:r>
                      <m:r>
                        <m:t>n</m:t>
                      </m:r>
                    </m:sub>
                  </m:sSub>
                </m:den>
              </m:f>
            </m:e>
          </m:nary>
        </m:oMath>
      </m:oMathPara>
    </w:p>
    <w:p>
      <w:pPr>
        <w:numPr>
          <w:ilvl w:val="0"/>
          <w:numId w:val="1003"/>
        </w:numPr>
      </w:pPr>
      <w:r>
        <w:t xml:space="preserve">Статистика для разряжений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ln</m:t>
              </m:r>
            </m:e>
          </m:nary>
          <m:f>
            <m:fPr>
              <m:type m:val="bar"/>
            </m:fPr>
            <m:num>
              <m:r>
                <m:t>1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k</m:t>
                  </m:r>
                </m:sub>
              </m:sSub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u</m:t>
                  </m:r>
                  <m:r>
                    <m:t>p</m:t>
                  </m:r>
                </m:sub>
              </m:sSub>
            </m:den>
          </m:f>
        </m:oMath>
      </m:oMathPara>
    </w:p>
    <w:p>
      <w:pPr>
        <w:numPr>
          <w:ilvl w:val="0"/>
          <w:numId w:val="1003"/>
        </w:numPr>
      </w:pPr>
      <w:r>
        <w:t xml:space="preserve">При справедливости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справедливо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∼</m:t>
        </m:r>
        <m:sSubSup>
          <m:e>
            <m:r>
              <m:t>χ</m:t>
            </m:r>
          </m:e>
          <m:sub>
            <m:r>
              <m:t>2</m:t>
            </m:r>
            <m:r>
              <m:t>n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и</w:t>
      </w:r>
      <w:r>
        <w:t xml:space="preserve"> </w:t>
      </w:r>
      <m:oMath>
        <m:r>
          <m:t>n</m:t>
        </m:r>
        <m:r>
          <m:rPr>
            <m:sty m:val="p"/>
          </m:rPr>
          <m:t>∼</m:t>
        </m:r>
        <m:r>
          <m:t>U</m:t>
        </m:r>
        <m:r>
          <m:t>n</m:t>
        </m:r>
        <m:r>
          <m:t>i</m:t>
        </m:r>
        <m:r>
          <m:t>f</m:t>
        </m:r>
        <m:r>
          <m:t>o</m:t>
        </m:r>
        <m:r>
          <m:t>r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</w:p>
    <w:p>
      <w:pPr>
        <w:numPr>
          <w:ilvl w:val="0"/>
          <w:numId w:val="1003"/>
        </w:numPr>
      </w:pPr>
      <w:r>
        <w:t xml:space="preserve">Программа проверяет вхождение значения статистик в критическую область S(n), где n – число регионов соседей, для которых p меньше или выше определенного порога. Программа строит эту область методом Монте-Карло. Кластеры или разрежения, выходящие за критическую область, являются значимыми.</w:t>
      </w:r>
    </w:p>
    <w:p>
      <w:pPr>
        <w:pStyle w:val="FirstParagraph"/>
      </w:pPr>
      <w:r>
        <w:t xml:space="preserve">Данный сервис получает на вход данные о взаиморасположении областей исследования и о значении исследуемой величины в этой области. Критерий подразумевает, что исследуемая величина - частота события в каком-либо регионе. Данные должны быть представлены в специальном общеиспользуемом геоинформационном формате – ESRI Shapefile. Формат Shapefile - это популярный формат геопространственных векторных данных, разработанный компанией ESRI для использования в программном обеспечении географических информационных систем (ГИС). Shapefile используются в различных приложениях, включая анализ пространственных и пространственно-временных данных, картографию и геопространственную визуализацию. В контексте веб-сервиса MapClust формат Shapefile используется для предоставления входных данных о расположении интересующих областей и связанных с ними анализируемых значений. Благодаря использованию широко распространенного геопространственного формата Shapefiles, MapClust обеспечивает совместимость с различным программным обеспечением ГИС и упрощает подготовку и интеграцию данных для пользователей. MapClust предполагает, что исследуемые величины уже находятся внутри файлов, связанных с Shapefiles. Помимо непосредственно shapefile с разрешением .shp, программе необходимо подать на вход файлы с расширениями .shx, .prj, .dbf и опционально файл .cpg, в котором содержится информация о кодировке файлов. Подготовка файлов для использования выходит за рамки функционала MapClust, так как зависит от целей исследователя и имеющихся у него данных. Примеры скриптов для подготовки данных представлены в репозитории GitHub проекта. Примерная инструкция на основе готовых примеров, выглядит следующим образом:</w:t>
      </w:r>
    </w:p>
    <w:p>
      <w:pPr>
        <w:numPr>
          <w:ilvl w:val="0"/>
          <w:numId w:val="1005"/>
        </w:numPr>
        <w:pStyle w:val="Compact"/>
      </w:pPr>
      <w:r>
        <w:t xml:space="preserve">Пример готовых данных можно скачать в вкладке</w:t>
      </w:r>
      <w:r>
        <w:t xml:space="preserve"> </w:t>
      </w:r>
      <w:r>
        <w:t xml:space="preserve">“</w:t>
      </w:r>
      <w:r>
        <w:t xml:space="preserve">Примеры данных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Распаковываем архив в любую пустую папку</w:t>
      </w:r>
    </w:p>
    <w:p>
      <w:pPr>
        <w:numPr>
          <w:ilvl w:val="0"/>
          <w:numId w:val="1005"/>
        </w:numPr>
        <w:pStyle w:val="Compact"/>
      </w:pPr>
      <w:r>
        <w:t xml:space="preserve">Необходимо определить распределение размеров кластеров/разряжений и распределение максимального размера кластеров/разряжений методом Монте-Карло. Для этого</w:t>
      </w:r>
    </w:p>
    <w:p>
      <w:pPr>
        <w:numPr>
          <w:ilvl w:val="1"/>
          <w:numId w:val="1006"/>
        </w:numPr>
        <w:pStyle w:val="Compact"/>
      </w:pPr>
      <w:r>
        <w:t xml:space="preserve">Загружаем в сервис</w:t>
      </w:r>
      <w:r>
        <w:t xml:space="preserve"> </w:t>
      </w:r>
      <w:r>
        <w:rPr>
          <w:bCs/>
          <w:b/>
        </w:rPr>
        <w:t xml:space="preserve">все</w:t>
      </w:r>
      <w:r>
        <w:t xml:space="preserve"> </w:t>
      </w:r>
      <w:r>
        <w:t xml:space="preserve">распакованные файлы из архива.</w:t>
      </w:r>
    </w:p>
    <w:p>
      <w:pPr>
        <w:numPr>
          <w:ilvl w:val="1"/>
          <w:numId w:val="1006"/>
        </w:numPr>
        <w:pStyle w:val="Compact"/>
      </w:pPr>
      <w:r>
        <w:t xml:space="preserve">Выбираем необходимые параметры (про пределы см. принцип работы критерия)</w:t>
      </w:r>
    </w:p>
    <w:p>
      <w:pPr>
        <w:numPr>
          <w:ilvl w:val="1"/>
          <w:numId w:val="1006"/>
        </w:numPr>
        <w:pStyle w:val="Compact"/>
      </w:pPr>
      <w:r>
        <w:t xml:space="preserve">Запускаем симуляцию</w:t>
      </w:r>
    </w:p>
    <w:p>
      <w:pPr>
        <w:numPr>
          <w:ilvl w:val="1"/>
          <w:numId w:val="1006"/>
        </w:numPr>
        <w:pStyle w:val="Compact"/>
      </w:pPr>
      <w:r>
        <w:t xml:space="preserve">Сохраняем результат</w:t>
      </w:r>
    </w:p>
    <w:p>
      <w:pPr>
        <w:numPr>
          <w:ilvl w:val="0"/>
          <w:numId w:val="1005"/>
        </w:numPr>
        <w:pStyle w:val="Compact"/>
      </w:pPr>
      <w:r>
        <w:t xml:space="preserve">Далее можно воспользоваться самим критерием:</w:t>
      </w:r>
    </w:p>
    <w:p>
      <w:pPr>
        <w:numPr>
          <w:ilvl w:val="1"/>
          <w:numId w:val="1007"/>
        </w:numPr>
        <w:pStyle w:val="Compact"/>
      </w:pPr>
      <w:r>
        <w:t xml:space="preserve">Загружаем в сервис</w:t>
      </w:r>
      <w:r>
        <w:t xml:space="preserve"> </w:t>
      </w:r>
      <w:r>
        <w:rPr>
          <w:bCs/>
          <w:b/>
        </w:rPr>
        <w:t xml:space="preserve">все</w:t>
      </w:r>
      <w:r>
        <w:t xml:space="preserve"> </w:t>
      </w:r>
      <w:r>
        <w:t xml:space="preserve">распакованные файлы из архива.</w:t>
      </w:r>
    </w:p>
    <w:p>
      <w:pPr>
        <w:numPr>
          <w:ilvl w:val="1"/>
          <w:numId w:val="1007"/>
        </w:numPr>
        <w:pStyle w:val="Compact"/>
      </w:pPr>
      <w:r>
        <w:t xml:space="preserve">Выбираем необходимые параметры: столбцы с данными, режим работы, т.е. какой столбец будет использован для расчетов)</w:t>
      </w:r>
    </w:p>
    <w:p>
      <w:pPr>
        <w:numPr>
          <w:ilvl w:val="1"/>
          <w:numId w:val="1007"/>
        </w:numPr>
        <w:pStyle w:val="Compact"/>
      </w:pPr>
      <w:r>
        <w:t xml:space="preserve">При необходимости внести изменения или посмотреть значение в регионе, можно кликнуть на регион и поменять значение величины при необходимости.</w:t>
      </w:r>
    </w:p>
    <w:p>
      <w:pPr>
        <w:numPr>
          <w:ilvl w:val="1"/>
          <w:numId w:val="1007"/>
        </w:numPr>
        <w:pStyle w:val="Compact"/>
      </w:pPr>
      <w:r>
        <w:t xml:space="preserve">Запускаем расчет</w:t>
      </w:r>
    </w:p>
    <w:p>
      <w:pPr>
        <w:numPr>
          <w:ilvl w:val="1"/>
          <w:numId w:val="1007"/>
        </w:numPr>
        <w:pStyle w:val="Compact"/>
      </w:pPr>
      <w:r>
        <w:t xml:space="preserve">Сохраняем результат</w:t>
      </w:r>
    </w:p>
    <w:bookmarkEnd w:id="22"/>
    <w:bookmarkStart w:id="43" w:name="примеры-работы"/>
    <w:p>
      <w:pPr>
        <w:pStyle w:val="Heading1"/>
      </w:pPr>
      <w:r>
        <w:t xml:space="preserve">Примеры работы</w:t>
      </w:r>
    </w:p>
    <w:p>
      <w:pPr>
        <w:pStyle w:val="FirstParagraph"/>
      </w:pPr>
      <w:r>
        <w:t xml:space="preserve">Приведем несколько примеров работы. Для первого примера возьмем данные по заболеваемостью вирусом иммунодефицита человека (ВИЧ) в Российской Федерации (РФ) с портала ЕМИСС</w:t>
      </w:r>
      <w:r>
        <w:t xml:space="preserve">[11]</w:t>
      </w:r>
      <w:r>
        <w:t xml:space="preserve">. Веб-сервис может работать в двух режимах работы: пространственном и пространственно-временном. Пространственный режим заключается в поиске кластеров по величине, измеренной в регионах определенной местности. Пространственно-временной режим - поиск кластеров по разнице некоторой величины во времени. Для начала работы необходимо построить критическую область. Для этого необходимо загрузить все файлы из архива, выбрать количество итераций и задать пороговые значения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d</m:t>
            </m:r>
            <m:r>
              <m:t>o</m:t>
            </m:r>
            <m:r>
              <m:t>w</m:t>
            </m:r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u</m:t>
            </m:r>
            <m:r>
              <m:t>p</m:t>
            </m:r>
          </m:sub>
        </m:sSub>
      </m:oMath>
      <w:r>
        <w:t xml:space="preserve">. Если</w:t>
      </w:r>
      <w:r>
        <w:t xml:space="preserve"> </w:t>
      </w:r>
      <m:oMath>
        <m:sSub>
          <m:e>
            <m:r>
              <m:t>p</m:t>
            </m:r>
          </m:e>
          <m:sub>
            <m:r>
              <m:t>d</m:t>
            </m:r>
            <m:r>
              <m:t>o</m:t>
            </m:r>
            <m:r>
              <m:t>w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или</w:t>
      </w:r>
      <w:r>
        <w:t xml:space="preserve"> </w:t>
      </w:r>
      <m:oMath>
        <m:sSub>
          <m:e>
            <m:r>
              <m:t>p</m:t>
            </m:r>
          </m:e>
          <m:sub>
            <m:r>
              <m:t>u</m:t>
            </m:r>
            <m:r>
              <m:t>p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, программа соответственно будет искать разряжения или кластеры. Для примера возьмем</w:t>
      </w:r>
      <w:r>
        <w:t xml:space="preserve"> </w:t>
      </w:r>
      <m:oMath>
        <m:sSub>
          <m:e>
            <m:r>
              <m:t>p</m:t>
            </m:r>
          </m:e>
          <m:sub>
            <m:r>
              <m:t>d</m:t>
            </m:r>
            <m:r>
              <m:t>o</m:t>
            </m:r>
            <m:r>
              <m:t>w</m:t>
            </m:r>
            <m:r>
              <m:t>n</m:t>
            </m:r>
          </m:sub>
        </m:sSub>
        <m:r>
          <m:rPr>
            <m:sty m:val="p"/>
          </m:rPr>
          <m:t>=</m:t>
        </m:r>
        <m:r>
          <m:t>0.1</m:t>
        </m:r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u</m:t>
            </m:r>
            <m:r>
              <m:t>p</m:t>
            </m:r>
          </m:sub>
        </m:sSub>
        <m:r>
          <m:rPr>
            <m:sty m:val="p"/>
          </m:rPr>
          <m:t>=</m:t>
        </m:r>
        <m:r>
          <m:t>0.85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 </w:t>
      </w:r>
      <w:r>
        <w:t xml:space="preserve">и запустим критерий для в первом режиме для данных 2005 года и в втором режиме для данных 2005 и 2006 года. Результаты представлены на</w:t>
      </w:r>
      <w:r>
        <w:t xml:space="preserve"> </w:t>
      </w:r>
      <w:hyperlink w:anchor="fig-first">
        <w:r>
          <w:rPr>
            <w:rStyle w:val="Hyperlink"/>
          </w:rPr>
          <w:t xml:space="preserve">Figure 1</w:t>
        </w:r>
      </w:hyperlink>
      <w:r>
        <w:t xml:space="preserve">. Программа также позволяет получить список областей, составляющих кластеры или разряжения. Из полученных данных можно сделать выводы о регионах с благополучной и тревожной эпидемиологической обстановкой. Например, на</w:t>
      </w:r>
      <w:r>
        <w:t xml:space="preserve"> </w:t>
      </w:r>
      <w:hyperlink w:anchor="fig-second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продемонстрированы регионы с неблагоприятной эпидемиологической обстановкой (кластеры). Нетрудно заметить, что обнаружено несколько кластеров неправильной формы и разного размера.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6" w:name="fig-first"/>
          <w:p>
            <w:pPr>
              <w:jc w:val="center"/>
            </w:pPr>
            <w:r>
              <w:drawing>
                <wp:inline>
                  <wp:extent cx="5334000" cy="2947889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result_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9478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Критическая область для обнаруженных кластеров и разряжений для РФ при заданном уровне значимости, равным 0.05. Точками отмечены найденные кластеры и разряжения. Вид кривой критической области зависит от уровня значимости и от карты области: количества регионов и их связности - и определяется методом Монте-Карло до применения критерия.</w:t>
            </w:r>
          </w:p>
          <w:bookmarkEnd w:id="26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0" w:name="fig-second"/>
          <w:p>
            <w:pPr>
              <w:jc w:val="center"/>
            </w:pPr>
            <w:r>
              <w:drawing>
                <wp:inline>
                  <wp:extent cx="5334000" cy="2613302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result_2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133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Карта расположения статистически значимых кластеров. Границы статистически значимых кластеров обозначены черными линиями. Границы статистически значимых разряжений обозначаются синими линиями.</w:t>
            </w:r>
          </w:p>
          <w:bookmarkEnd w:id="30"/>
        </w:tc>
      </w:tr>
    </w:tbl>
    <w:p>
      <w:pPr>
        <w:pStyle w:val="BodyText"/>
      </w:pPr>
      <w:r>
        <w:t xml:space="preserve">Также в практическом плане может быть гораздо полезнее смотреть динамику распространения инфекции. Наша программа позволяет сравнивать показатели. Сравним с теми же параметрами 2005 и 2006 год. Результат представлен на</w:t>
      </w:r>
      <w:r>
        <w:t xml:space="preserve"> </w:t>
      </w:r>
      <w:hyperlink w:anchor="fig-third">
        <w:r>
          <w:rPr>
            <w:rStyle w:val="Hyperlink"/>
          </w:rPr>
          <w:t xml:space="preserve">Figure 3</w:t>
        </w:r>
      </w:hyperlink>
      <w:r>
        <w:t xml:space="preserve">. Статистически значимое улучшение обстановки за год наблюдается только в Санкт-Петербурге.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4" w:name="fig-third"/>
          <w:p>
            <w:pPr>
              <w:jc w:val="center"/>
            </w:pPr>
            <w:r>
              <w:drawing>
                <wp:inline>
                  <wp:extent cx="5334000" cy="304162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result_3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416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Сравнение количества новых случаев заражения ВИЧ-инфекцией в РФ в 2005 и в 2006 годах.</w:t>
            </w:r>
          </w:p>
          <w:bookmarkEnd w:id="34"/>
        </w:tc>
      </w:tr>
    </w:tbl>
    <w:p>
      <w:pPr>
        <w:pStyle w:val="BodyText"/>
      </w:pPr>
      <w:r>
        <w:t xml:space="preserve">В качестве задачи экологического мониторинга рассмотрим поиск очагов ухудшения качества воздуха в Румынии. Данные взяты с сайта Европейского агентства по окружающей среде</w:t>
      </w:r>
      <w:r>
        <w:t xml:space="preserve">[12]</w:t>
      </w:r>
      <w:r>
        <w:t xml:space="preserve">. В качестве показателя, отображающего качество воздуха, возьмем концентрацию частиц диаметром меньше или равного 10 микрометрам (PM10). Рассмотрим, как изменилось качество воздуха с 2018 по 2021 год. Запустим критерий с параметрами</w:t>
      </w:r>
      <w:r>
        <w:t xml:space="preserve"> </w:t>
      </w:r>
      <m:oMath>
        <m:sSub>
          <m:e>
            <m:r>
              <m:t>p</m:t>
            </m:r>
          </m:e>
          <m:sub>
            <m:r>
              <m:t>d</m:t>
            </m:r>
            <m:r>
              <m:t>o</m:t>
            </m:r>
            <m:r>
              <m:t>w</m:t>
            </m:r>
            <m:r>
              <m:t>n</m:t>
            </m:r>
          </m:sub>
        </m:sSub>
        <m:r>
          <m:rPr>
            <m:sty m:val="p"/>
          </m:rPr>
          <m:t>=</m:t>
        </m:r>
        <m:r>
          <m:t>0.2</m:t>
        </m:r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u</m:t>
            </m:r>
            <m:r>
              <m:t>p</m:t>
            </m:r>
          </m:sub>
        </m:sSub>
        <m:r>
          <m:rPr>
            <m:sty m:val="p"/>
          </m:rPr>
          <m:t>=</m:t>
        </m:r>
        <m:r>
          <m:t>0.8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. Результат представлен на</w:t>
      </w:r>
      <w:r>
        <w:t xml:space="preserve"> </w:t>
      </w:r>
      <w:hyperlink w:anchor="fig-fourth">
        <w:r>
          <w:rPr>
            <w:rStyle w:val="Hyperlink"/>
          </w:rPr>
          <w:t xml:space="preserve">Figure 4</w:t>
        </w:r>
      </w:hyperlink>
      <w:r>
        <w:t xml:space="preserve">. Наблюдается статистически значимое улучшение качества воздуха в районе Плоешти и Брашова, который исторически был промышленным в Румынии.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8" w:name="fig-fourth"/>
          <w:p>
            <w:pPr>
              <w:jc w:val="center"/>
            </w:pPr>
            <w:r>
              <w:drawing>
                <wp:inline>
                  <wp:extent cx="5334000" cy="2698323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result_4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983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Сравнение PM10 в Румынии за 2018 и 2021 год.</w:t>
            </w:r>
          </w:p>
          <w:bookmarkEnd w:id="38"/>
        </w:tc>
      </w:tr>
    </w:tbl>
    <w:p>
      <w:pPr>
        <w:pStyle w:val="BodyText"/>
      </w:pPr>
      <w:r>
        <w:t xml:space="preserve">Рассмотрим значимость параметра</w:t>
      </w:r>
      <w:r>
        <w:t xml:space="preserve"> </w:t>
      </w:r>
      <m:oMath>
        <m:r>
          <m:t>α</m:t>
        </m:r>
      </m:oMath>
      <w:r>
        <w:t xml:space="preserve">. Для этого возьмем данные о количестве лесных пожаров по штатам Индии за 2008-2009 и 2009-2010 года и запустим критерий с параметрами</w:t>
      </w:r>
      <w:r>
        <w:t xml:space="preserve"> </w:t>
      </w:r>
      <m:oMath>
        <m:sSub>
          <m:e>
            <m:r>
              <m:t>p</m:t>
            </m:r>
          </m:e>
          <m:sub>
            <m:r>
              <m:t>d</m:t>
            </m:r>
            <m:r>
              <m:t>o</m:t>
            </m:r>
            <m:r>
              <m:t>w</m:t>
            </m:r>
            <m:r>
              <m:t>n</m:t>
            </m:r>
          </m:sub>
        </m:sSub>
        <m:r>
          <m:rPr>
            <m:sty m:val="p"/>
          </m:rPr>
          <m:t>=</m:t>
        </m:r>
        <m:r>
          <m:t>0.2</m:t>
        </m:r>
      </m:oMath>
      <w:r>
        <w:t xml:space="preserve"> </w:t>
      </w:r>
      <w:r>
        <w:t xml:space="preserve">или</w:t>
      </w:r>
      <w:r>
        <w:t xml:space="preserve"> </w:t>
      </w:r>
      <m:oMath>
        <m:sSub>
          <m:e>
            <m:r>
              <m:t>p</m:t>
            </m:r>
          </m:e>
          <m:sub>
            <m:r>
              <m:t>u</m:t>
            </m:r>
            <m:r>
              <m:t>p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8</m:t>
        </m:r>
      </m:oMath>
      <w:r>
        <w:t xml:space="preserve">[13]</w:t>
      </w:r>
      <w:r>
        <w:t xml:space="preserve">.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– это уровень надежности, определяющий вероятность ошибки I рода, или ложного определения области как значимого кластера, когда это не так. Его изменение может оказать значительное влияние на выявление статистически значимых областей. Одна и та же область: кластер или разряжение - может быть статистически значимым при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, но не быть статистически значимым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  <w:r>
        <w:t xml:space="preserve">. Подобный пример представлен на</w:t>
      </w:r>
      <w:r>
        <w:t xml:space="preserve"> </w:t>
      </w:r>
      <w:hyperlink w:anchor="fig-fifth">
        <w:r>
          <w:rPr>
            <w:rStyle w:val="Hyperlink"/>
          </w:rPr>
          <w:t xml:space="preserve">Figure 5</w:t>
        </w:r>
      </w:hyperlink>
      <w:r>
        <w:t xml:space="preserve">. Использование более низкого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уменьшает вероятность ошибки I рода, но увеличивает риск ошибки II рода, или неспособности определить истинный кластер. Таким образом, тщательный выбор параметра необходим для обеспечения точной идентификации значимых кластеров при минимизации риска ложноположительных и ложноотрицательных результатов. Сервис MapClust позволяет пользователям регулировать чувствительность алгоритма путем изменения параметра</w:t>
      </w:r>
      <w:r>
        <w:t xml:space="preserve"> </w:t>
      </w:r>
      <m:oMath>
        <m:r>
          <m:t>α</m:t>
        </m:r>
      </m:oMath>
      <w:r>
        <w:t xml:space="preserve">, обеспечивая больший контроль над балансом между ошибками I рода и II рода.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2" w:name="fig-fifth"/>
          <w:p>
            <w:pPr>
              <w:jc w:val="center"/>
            </w:pPr>
            <w:r>
              <w:drawing>
                <wp:inline>
                  <wp:extent cx="5334000" cy="2782454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result_5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7824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5: Сравнение количества лесных пожаров в Индии за 2008-2009 и 2009-2010 года. Слева график при уровне значимости равным 0.05, справа - 0.01. Можно заметить, что один кластер</w:t>
            </w:r>
            <w:r>
              <w:t xml:space="preserve"> </w:t>
            </w:r>
            <w:r>
              <w:t xml:space="preserve">“</w:t>
            </w:r>
            <w:r>
              <w:t xml:space="preserve">потерял</w:t>
            </w:r>
            <w:r>
              <w:t xml:space="preserve">”</w:t>
            </w:r>
            <w:r>
              <w:t xml:space="preserve"> </w:t>
            </w:r>
            <w:r>
              <w:t xml:space="preserve">значимость при уровне значимости в 0.01. Второй кластер, расположенный рядом с ним, её сохранил: точка находится чуть выше границы критической области</w:t>
            </w:r>
          </w:p>
          <w:bookmarkEnd w:id="42"/>
        </w:tc>
      </w:tr>
    </w:tbl>
    <w:bookmarkEnd w:id="43"/>
    <w:bookmarkStart w:id="44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В этой работе был представлен веб-сервис MapClust, новый инструмент для эффективной кластеризации и анализа пространственных и пространственно-временных данных, специально разработанный для задач эпидемиологического, экологического и других видов мониторинга. Ключевым вкладом и результат работы являются разработка алгоритма, который преодолевает ограничения существующих методов, таких как статистика сканирования Куллдорфа, не зависящих от формы и размера кластера, предлагающих регулируемую чувствительность и возможность поиска нескольких кластеров при контроле величины ошибок первого типа.</w:t>
      </w:r>
    </w:p>
    <w:p>
      <w:pPr>
        <w:pStyle w:val="BodyText"/>
      </w:pPr>
      <w:r>
        <w:t xml:space="preserve">На приведенных примерах мы продемонстрировали эффективность MapClust при выявлении регионов с различной эпидемиологической ситуацией, касающейся распространенности ВИЧ в Российской Федерации и мониторинга качества воздуха в Румынии. Эти практические приложения демонстрируют потенциальные преимущества использования MapClust в здравоохранении и управлении окружающей средой. Позволяя более точно определять области, требующие вмешательства, MapClust может помочь лицам, принимающим решения, более эффективно распределять ресурсы, что в конечном итоге приведет к улучшению состояния здоровья населения и охране окружающей среды.</w:t>
      </w:r>
    </w:p>
    <w:p>
      <w:pPr>
        <w:pStyle w:val="BodyText"/>
      </w:pPr>
      <w:r>
        <w:t xml:space="preserve">Разработанный сервис доступен по адресу https://epidemmonitor.ru/MapClust/. Кроме этого, код сервиса для локального использования доступен по адресу https://github.com/SmirnygaTotoshka/MapClust/. Подробная инструкция и тестовые данные представлены на сайте. Ограничения для онлайн-использования - 100 Мб. В дальнейших планах у авторов разработать пакет для языка программирования R, добавить расчет p-value для структур данных и распространить используемый подход на другие типы данных.</w:t>
      </w:r>
    </w:p>
    <w:bookmarkEnd w:id="44"/>
    <w:bookmarkStart w:id="45" w:name="Xae14ee8302be915bdc772fbc153bae4b2406717"/>
    <w:p>
      <w:pPr>
        <w:pStyle w:val="Heading1"/>
      </w:pPr>
      <w:r>
        <w:t xml:space="preserve">MAPCLUST IS SERVICE FOR EPIDEMIOLOGICAL AND ECOLOGICAL MONITORING</w:t>
      </w:r>
    </w:p>
    <w:p>
      <w:pPr>
        <w:pStyle w:val="FirstParagraph"/>
      </w:pPr>
      <w:r>
        <w:rPr>
          <w:bCs/>
          <w:b/>
        </w:rPr>
        <w:t xml:space="preserve">Smirnov Anton Sergeevich</w:t>
      </w:r>
      <w:r>
        <w:rPr>
          <w:vertAlign w:val="superscript"/>
          <w:bCs/>
          <w:b/>
        </w:rPr>
        <w:t xml:space="preserve">1</w:t>
      </w:r>
      <w:r>
        <w:rPr>
          <w:bCs/>
          <w:b/>
        </w:rPr>
        <w:t xml:space="preserve">, Zakharov Oleg Stanislavovich</w:t>
      </w:r>
      <w:r>
        <w:rPr>
          <w:vertAlign w:val="superscript"/>
          <w:bCs/>
          <w:b/>
        </w:rPr>
        <w:t xml:space="preserve">1</w:t>
      </w:r>
      <w:r>
        <w:rPr>
          <w:bCs/>
          <w:b/>
        </w:rPr>
        <w:t xml:space="preserve">, Pyatnitskiy Alexey Mikhailovich</w:t>
      </w:r>
      <w:r>
        <w:rPr>
          <w:vertAlign w:val="superscript"/>
          <w:bCs/>
          <w:b/>
        </w:rPr>
        <w:t xml:space="preserve">1</w:t>
      </w:r>
      <w:r>
        <w:rPr>
          <w:bCs/>
          <w:b/>
        </w:rPr>
        <w:t xml:space="preserve">, Gukasov Vadim Mikhailovich</w:t>
      </w:r>
      <w:r>
        <w:rPr>
          <w:vertAlign w:val="superscript"/>
          <w:bCs/>
          <w:b/>
        </w:rPr>
        <w:t xml:space="preserve">2</w:t>
      </w:r>
      <w:r>
        <w:rPr>
          <w:bCs/>
          <w:b/>
        </w:rPr>
        <w:t xml:space="preserve">,</w:t>
      </w:r>
    </w:p>
    <w:p>
      <w:pPr>
        <w:pStyle w:val="BodyText"/>
      </w:pPr>
      <w:r>
        <w:t xml:space="preserve">1 - PRNRMU, Moscow,</w:t>
      </w:r>
    </w:p>
    <w:p>
      <w:pPr>
        <w:pStyle w:val="BodyText"/>
      </w:pPr>
      <w:r>
        <w:t xml:space="preserve">2 - FRCEC, Moscow</w:t>
      </w:r>
    </w:p>
    <w:bookmarkEnd w:id="45"/>
    <w:bookmarkStart w:id="46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This article is the MapClust description. The MapClust is web-service for clusterisation of spatial and spatio-temporal data and it is authors previous research practical realisation. We demostrate web-service work on epidemiological and ecological monitoring tasks.</w:t>
      </w:r>
    </w:p>
    <w:p>
      <w:pPr>
        <w:pStyle w:val="BodyText"/>
      </w:pPr>
      <w:r>
        <w:t xml:space="preserve">Keywords: MapClust; epidemiological monitoring; ecological monitoring; clustering algorithm.</w:t>
      </w:r>
    </w:p>
    <w:bookmarkEnd w:id="46"/>
    <w:bookmarkStart w:id="47" w:name="информация-об-авторах"/>
    <w:p>
      <w:pPr>
        <w:pStyle w:val="Heading1"/>
      </w:pPr>
      <w:r>
        <w:t xml:space="preserve">Информация об авторах</w:t>
      </w:r>
    </w:p>
    <w:p>
      <w:pPr>
        <w:numPr>
          <w:ilvl w:val="0"/>
          <w:numId w:val="1008"/>
        </w:numPr>
      </w:pPr>
      <w:r>
        <w:t xml:space="preserve">Смирнов Антон Сергеевич – студент 6 курса направления «Медицинская кибернетика» МБФ РНИМУ, Москва.</w:t>
      </w:r>
    </w:p>
    <w:p>
      <w:pPr>
        <w:numPr>
          <w:ilvl w:val="0"/>
          <w:numId w:val="1008"/>
        </w:numPr>
      </w:pPr>
      <w:r>
        <w:t xml:space="preserve">Захаров Олег Станиславович – студент 2 курса направления «Медицинская кибернетика» МБФ РНИМУ, Москва.</w:t>
      </w:r>
    </w:p>
    <w:p>
      <w:pPr>
        <w:numPr>
          <w:ilvl w:val="0"/>
          <w:numId w:val="1008"/>
        </w:numPr>
      </w:pPr>
      <w:r>
        <w:t xml:space="preserve">Пятницкий Алексей Михайлович – доцент кафедры высшей математики МБФ РНИМУ, кандидат физико-математических наук, Москва.</w:t>
      </w:r>
    </w:p>
    <w:p>
      <w:pPr>
        <w:numPr>
          <w:ilvl w:val="0"/>
          <w:numId w:val="1008"/>
        </w:numPr>
      </w:pPr>
      <w:r>
        <w:t xml:space="preserve">Гукасов Вадим Михайлович – доктор биологических наук, главный научный сотрудник Государственного центра экспертизы в сфере науки и инноваций, ФГБНУ НИИ Республиканский исследовательский научно-консультационный центр экспертизы (ФГБНУ НИИ РИНКЦЭ) Министерства науки и высшего образования России, Москва</w:t>
      </w:r>
    </w:p>
    <w:bookmarkEnd w:id="47"/>
    <w:bookmarkStart w:id="48" w:name="контактное-лицо"/>
    <w:p>
      <w:pPr>
        <w:pStyle w:val="Heading1"/>
      </w:pPr>
      <w:r>
        <w:t xml:space="preserve">Контактное лицо</w:t>
      </w:r>
    </w:p>
    <w:p>
      <w:pPr>
        <w:pStyle w:val="FirstParagraph"/>
      </w:pPr>
      <w:r>
        <w:t xml:space="preserve">Смирнов Антон Сергеевич, +79109522086, e-mail: anton.smirnov.9910@gmail.com</w:t>
      </w:r>
    </w:p>
    <w:bookmarkEnd w:id="48"/>
    <w:bookmarkStart w:id="74" w:name="список-литературы"/>
    <w:p>
      <w:pPr>
        <w:pStyle w:val="Heading1"/>
      </w:pPr>
      <w:r>
        <w:t xml:space="preserve">Список литературы</w:t>
      </w:r>
    </w:p>
    <w:bookmarkStart w:id="73" w:name="refs"/>
    <w:bookmarkStart w:id="50" w:name="ref-shaweno2018"/>
    <w:p>
      <w:pPr>
        <w:pStyle w:val="Bibliography"/>
      </w:pPr>
      <w:r>
        <w:t xml:space="preserve">1. Shaweno D.</w:t>
      </w:r>
      <w:r>
        <w:t xml:space="preserve"> </w:t>
      </w:r>
      <w:hyperlink r:id="rId49">
        <w:r>
          <w:rPr>
            <w:rStyle w:val="Hyperlink"/>
          </w:rPr>
          <w:t xml:space="preserve">Methods used in the spatial analysis of tuberculosis epidemiology: a systematic review</w:t>
        </w:r>
      </w:hyperlink>
      <w:r>
        <w:t xml:space="preserve"> </w:t>
      </w:r>
      <w:r>
        <w:t xml:space="preserve">/ D. Shaweno [et al.] // BMC Medicine. – 2018. – Vol. 16. – Methods used in the spatial analysis of tuberculosis epidemiology. – № 1. – P. 193.</w:t>
      </w:r>
    </w:p>
    <w:bookmarkEnd w:id="50"/>
    <w:bookmarkStart w:id="52" w:name="ref-kulldorff1997"/>
    <w:p>
      <w:pPr>
        <w:pStyle w:val="Bibliography"/>
      </w:pPr>
      <w:r>
        <w:t xml:space="preserve">2. Kulldorff M.</w:t>
      </w:r>
      <w:r>
        <w:t xml:space="preserve"> </w:t>
      </w:r>
      <w:hyperlink r:id="rId51">
        <w:r>
          <w:rPr>
            <w:rStyle w:val="Hyperlink"/>
          </w:rPr>
          <w:t xml:space="preserve">A spatial scan statistic</w:t>
        </w:r>
      </w:hyperlink>
      <w:r>
        <w:t xml:space="preserve"> </w:t>
      </w:r>
      <w:r>
        <w:t xml:space="preserve">/ M. Kulldorff // Communications in Statistics - Theory and Methods. – 1997. – Vol. 26. – № 6. – P. 1481-1496.</w:t>
      </w:r>
    </w:p>
    <w:bookmarkEnd w:id="52"/>
    <w:bookmarkStart w:id="54" w:name="ref-odhiambo2023"/>
    <w:p>
      <w:pPr>
        <w:pStyle w:val="Bibliography"/>
      </w:pPr>
      <w:r>
        <w:t xml:space="preserve">3. Odhiambo J.N.</w:t>
      </w:r>
      <w:r>
        <w:t xml:space="preserve"> </w:t>
      </w:r>
      <w:hyperlink r:id="rId53">
        <w:r>
          <w:rPr>
            <w:rStyle w:val="Hyperlink"/>
          </w:rPr>
          <w:t xml:space="preserve">Spatial and spatio-temporal epidemiological approaches to inform COVID-19 surveillance and control: a systematic review of statistical and modelling methods in Africa</w:t>
        </w:r>
      </w:hyperlink>
      <w:r>
        <w:t xml:space="preserve"> </w:t>
      </w:r>
      <w:r>
        <w:t xml:space="preserve">/ J.N. Odhiambo [et al.] // BMJ Open. – 2023. – Vol. 13. – Spatial and spatio-temporal epidemiological approaches to inform COVID-19 surveillance and control. – № 1. – P. e067134.</w:t>
      </w:r>
    </w:p>
    <w:bookmarkEnd w:id="54"/>
    <w:bookmarkStart w:id="56" w:name="ref-kiani2021"/>
    <w:p>
      <w:pPr>
        <w:pStyle w:val="Bibliography"/>
      </w:pPr>
      <w:r>
        <w:t xml:space="preserve">4. Kiani B.</w:t>
      </w:r>
      <w:r>
        <w:t xml:space="preserve"> </w:t>
      </w:r>
      <w:hyperlink r:id="rId55">
        <w:r>
          <w:rPr>
            <w:rStyle w:val="Hyperlink"/>
          </w:rPr>
          <w:t xml:space="preserve">Spatio-temporal epidemiology of the tuberculosis incidence rate in Iran 2008 to 2018</w:t>
        </w:r>
      </w:hyperlink>
      <w:r>
        <w:t xml:space="preserve"> </w:t>
      </w:r>
      <w:r>
        <w:t xml:space="preserve">/ B. Kiani [et al.] // BMC Public Health. – 2021. – Vol. 21. – № 1. – P. 1093.</w:t>
      </w:r>
    </w:p>
    <w:bookmarkEnd w:id="56"/>
    <w:bookmarkStart w:id="58" w:name="ref-ito2022"/>
    <w:p>
      <w:pPr>
        <w:pStyle w:val="Bibliography"/>
      </w:pPr>
      <w:r>
        <w:t xml:space="preserve">5. Ito S.</w:t>
      </w:r>
      <w:r>
        <w:t xml:space="preserve"> </w:t>
      </w:r>
      <w:hyperlink r:id="rId57">
        <w:r>
          <w:rPr>
            <w:rStyle w:val="Hyperlink"/>
          </w:rPr>
          <w:t xml:space="preserve">Spatio-Temporal Epidemiology of the Spread of African Swine Fever in Wild Boar and the Role of Environmental Factors in South Korea</w:t>
        </w:r>
      </w:hyperlink>
      <w:r>
        <w:t xml:space="preserve"> </w:t>
      </w:r>
      <w:r>
        <w:t xml:space="preserve">/ S. Ito [et al.] // Viruses. – 2022. – Vol. 14. – № 12. – P. 2779.</w:t>
      </w:r>
    </w:p>
    <w:bookmarkEnd w:id="58"/>
    <w:bookmarkStart w:id="60" w:name="ref-tango2021"/>
    <w:p>
      <w:pPr>
        <w:pStyle w:val="Bibliography"/>
      </w:pPr>
      <w:r>
        <w:t xml:space="preserve">6. Tango T.</w:t>
      </w:r>
      <w:r>
        <w:t xml:space="preserve"> </w:t>
      </w:r>
      <w:hyperlink r:id="rId59">
        <w:r>
          <w:rPr>
            <w:rStyle w:val="Hyperlink"/>
          </w:rPr>
          <w:t xml:space="preserve">Spatial scan statistics can be dangerous</w:t>
        </w:r>
      </w:hyperlink>
      <w:r>
        <w:t xml:space="preserve"> </w:t>
      </w:r>
      <w:r>
        <w:t xml:space="preserve">/ T. Tango // Statistical Methods in Medical Research. – 2021. – Vol. 30. – № 1. – P. 75-86.</w:t>
      </w:r>
    </w:p>
    <w:bookmarkEnd w:id="60"/>
    <w:bookmarkStart w:id="61" w:name="ref-pyatnickiy2020_1"/>
    <w:p>
      <w:pPr>
        <w:pStyle w:val="Bibliography"/>
      </w:pPr>
      <w:r>
        <w:t xml:space="preserve">7. Пятницкий А.М. Кластеризация данных методом «расширения точек» / А.М. Пятницкий, В.М. Гукасов, А.С. Смирнов // МЕДИЦИНА И ВЫСОКИЕ ТЕХНОЛОГИИ. – 2020. – № 2. – P. 9-14.</w:t>
      </w:r>
    </w:p>
    <w:bookmarkEnd w:id="61"/>
    <w:bookmarkStart w:id="62" w:name="ref-pyatnickiy2020_2"/>
    <w:p>
      <w:pPr>
        <w:pStyle w:val="Bibliography"/>
      </w:pPr>
      <w:r>
        <w:t xml:space="preserve">8. Пятницкий А.М. Поиск кластеров событий в эпидемиологическом и экологическом мониторинге / А.М. Пятницкий, В.М. Гукасов, А.С. Смирнов // МЕДИЦИНА И ВЫСОКИЕ ТЕХНОЛОГИИ. – 2020. – № 4. – P. 29-37.</w:t>
      </w:r>
    </w:p>
    <w:bookmarkEnd w:id="62"/>
    <w:bookmarkStart w:id="64" w:name="ref-pyatnitskiy2021_1"/>
    <w:p>
      <w:pPr>
        <w:pStyle w:val="Bibliography"/>
      </w:pPr>
      <w:r>
        <w:t xml:space="preserve">9. Pyatnitskiy A.M.</w:t>
      </w:r>
      <w:r>
        <w:t xml:space="preserve"> </w:t>
      </w:r>
      <w:hyperlink r:id="rId63">
        <w:r>
          <w:rPr>
            <w:rStyle w:val="Hyperlink"/>
          </w:rPr>
          <w:t xml:space="preserve">Searching for event clusters in frequency tables with applications in epidemiology and ecological monitoring</w:t>
        </w:r>
      </w:hyperlink>
      <w:r>
        <w:t xml:space="preserve"> </w:t>
      </w:r>
      <w:r>
        <w:t xml:space="preserve">/ A.M. Pyatnitskiy, V.M. Gukasov, A.S. Smirnov // Medicina i vysokie tehnologii. – 2021. – Vol. 2. – P. 7-17.</w:t>
      </w:r>
    </w:p>
    <w:bookmarkEnd w:id="64"/>
    <w:bookmarkStart w:id="66" w:name="ref-pyatnitskiy2021_2"/>
    <w:p>
      <w:pPr>
        <w:pStyle w:val="Bibliography"/>
      </w:pPr>
      <w:r>
        <w:t xml:space="preserve">10. Pyatnitskiy A.M.</w:t>
      </w:r>
      <w:r>
        <w:t xml:space="preserve"> </w:t>
      </w:r>
      <w:hyperlink r:id="rId65">
        <w:r>
          <w:rPr>
            <w:rStyle w:val="Hyperlink"/>
          </w:rPr>
          <w:t xml:space="preserve">Searching for clusters in population data</w:t>
        </w:r>
      </w:hyperlink>
      <w:r>
        <w:t xml:space="preserve"> </w:t>
      </w:r>
      <w:r>
        <w:t xml:space="preserve">/ A.M. Pyatnitskiy, V.M. Gukasov, A.S. Smirnov // Medicina i vysokie tehnologii. – 2021. – Vol. 3.</w:t>
      </w:r>
    </w:p>
    <w:bookmarkEnd w:id="66"/>
    <w:bookmarkStart w:id="68" w:name="ref-aleksandrova"/>
    <w:p>
      <w:pPr>
        <w:pStyle w:val="Bibliography"/>
      </w:pPr>
      <w:r>
        <w:t xml:space="preserve">11. Александрова Г.А.</w:t>
      </w:r>
      <w:r>
        <w:t xml:space="preserve"> </w:t>
      </w:r>
      <w:hyperlink r:id="rId67">
        <w:r>
          <w:rPr>
            <w:rStyle w:val="Hyperlink"/>
          </w:rPr>
          <w:t xml:space="preserve">Заболеваемость с впервые в жизни установленным диагнозом ВИЧ-инфекции на 100 тыс. Человек населения</w:t>
        </w:r>
      </w:hyperlink>
      <w:r>
        <w:t xml:space="preserve"> </w:t>
      </w:r>
      <w:r>
        <w:t xml:space="preserve">/ Г.А. Александрова.</w:t>
      </w:r>
    </w:p>
    <w:bookmarkEnd w:id="68"/>
    <w:bookmarkStart w:id="70" w:name="ref-annuala"/>
    <w:p>
      <w:pPr>
        <w:pStyle w:val="Bibliography"/>
      </w:pPr>
      <w:r>
        <w:t xml:space="preserve">12.</w:t>
      </w:r>
      <w:r>
        <w:t xml:space="preserve"> </w:t>
      </w:r>
      <w:hyperlink r:id="rId69">
        <w:r>
          <w:rPr>
            <w:rStyle w:val="Hyperlink"/>
          </w:rPr>
          <w:t xml:space="preserve">Annual AQ statistics (AirBase &amp; e-reporting merged)</w:t>
        </w:r>
      </w:hyperlink>
      <w:r>
        <w:t xml:space="preserve">.</w:t>
      </w:r>
    </w:p>
    <w:bookmarkEnd w:id="70"/>
    <w:bookmarkStart w:id="72" w:name="ref-kamal"/>
    <w:p>
      <w:pPr>
        <w:pStyle w:val="Bibliography"/>
      </w:pPr>
      <w:r>
        <w:t xml:space="preserve">13. Kamal S.</w:t>
      </w:r>
      <w:r>
        <w:t xml:space="preserve"> </w:t>
      </w:r>
      <w:hyperlink r:id="rId71">
        <w:r>
          <w:rPr>
            <w:rStyle w:val="Hyperlink"/>
          </w:rPr>
          <w:t xml:space="preserve">Forest fires in india</w:t>
        </w:r>
      </w:hyperlink>
      <w:r>
        <w:t xml:space="preserve"> </w:t>
      </w:r>
      <w:r>
        <w:t xml:space="preserve">/ S. Kamal.</w:t>
      </w:r>
    </w:p>
    <w:bookmarkEnd w:id="72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69" Target="https://discomap.eea.europa.eu/App/AirQualityStatistics/index.html" TargetMode="External" /><Relationship Type="http://schemas.openxmlformats.org/officeDocument/2006/relationships/hyperlink" Id="rId51" Target="https://doi.org/10.1080/03610929708831995" TargetMode="External" /><Relationship Type="http://schemas.openxmlformats.org/officeDocument/2006/relationships/hyperlink" Id="rId53" Target="https://doi.org/10.1136/bmjopen-2022-067134" TargetMode="External" /><Relationship Type="http://schemas.openxmlformats.org/officeDocument/2006/relationships/hyperlink" Id="rId59" Target="https://doi.org/10.1177/0962280220930562" TargetMode="External" /><Relationship Type="http://schemas.openxmlformats.org/officeDocument/2006/relationships/hyperlink" Id="rId55" Target="https://doi.org/10.1186/s12889-021-11157-1" TargetMode="External" /><Relationship Type="http://schemas.openxmlformats.org/officeDocument/2006/relationships/hyperlink" Id="rId49" Target="https://doi.org/10.1186/s12916-018-1178-4" TargetMode="External" /><Relationship Type="http://schemas.openxmlformats.org/officeDocument/2006/relationships/hyperlink" Id="rId57" Target="https://doi.org/10.3390/v14122779" TargetMode="External" /><Relationship Type="http://schemas.openxmlformats.org/officeDocument/2006/relationships/hyperlink" Id="rId63" Target="https://doi.org/10.34219/2306-3645-2021-11-2-7-17" TargetMode="External" /><Relationship Type="http://schemas.openxmlformats.org/officeDocument/2006/relationships/hyperlink" Id="rId65" Target="https://doi.org/10.34219/2306-3645-2021-11-3-63-71" TargetMode="External" /><Relationship Type="http://schemas.openxmlformats.org/officeDocument/2006/relationships/hyperlink" Id="rId67" Target="https://fedstat.ru/indicator/41718" TargetMode="External" /><Relationship Type="http://schemas.openxmlformats.org/officeDocument/2006/relationships/hyperlink" Id="rId71" Target="https://www.kaggle.com/datasets/sanikamal/forest-fires-in-indi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https://discomap.eea.europa.eu/App/AirQualityStatistics/index.html" TargetMode="External" /><Relationship Type="http://schemas.openxmlformats.org/officeDocument/2006/relationships/hyperlink" Id="rId51" Target="https://doi.org/10.1080/03610929708831995" TargetMode="External" /><Relationship Type="http://schemas.openxmlformats.org/officeDocument/2006/relationships/hyperlink" Id="rId53" Target="https://doi.org/10.1136/bmjopen-2022-067134" TargetMode="External" /><Relationship Type="http://schemas.openxmlformats.org/officeDocument/2006/relationships/hyperlink" Id="rId59" Target="https://doi.org/10.1177/0962280220930562" TargetMode="External" /><Relationship Type="http://schemas.openxmlformats.org/officeDocument/2006/relationships/hyperlink" Id="rId55" Target="https://doi.org/10.1186/s12889-021-11157-1" TargetMode="External" /><Relationship Type="http://schemas.openxmlformats.org/officeDocument/2006/relationships/hyperlink" Id="rId49" Target="https://doi.org/10.1186/s12916-018-1178-4" TargetMode="External" /><Relationship Type="http://schemas.openxmlformats.org/officeDocument/2006/relationships/hyperlink" Id="rId57" Target="https://doi.org/10.3390/v14122779" TargetMode="External" /><Relationship Type="http://schemas.openxmlformats.org/officeDocument/2006/relationships/hyperlink" Id="rId63" Target="https://doi.org/10.34219/2306-3645-2021-11-2-7-17" TargetMode="External" /><Relationship Type="http://schemas.openxmlformats.org/officeDocument/2006/relationships/hyperlink" Id="rId65" Target="https://doi.org/10.34219/2306-3645-2021-11-3-63-71" TargetMode="External" /><Relationship Type="http://schemas.openxmlformats.org/officeDocument/2006/relationships/hyperlink" Id="rId67" Target="https://fedstat.ru/indicator/41718" TargetMode="External" /><Relationship Type="http://schemas.openxmlformats.org/officeDocument/2006/relationships/hyperlink" Id="rId71" Target="https://www.kaggle.com/datasets/sanikamal/forest-fires-in-indi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MAPCLUST - СЕРВИС ДЛЯ ЭПИДЕМИОЛОГИЧЕСКОГО И ЭКОЛОГИЧЕСКОГО МОНИТОРИНГА</dc:title>
  <dc:creator>Смирнов Антон Сергеевич1,Захаров Олег Станиславович1,Пятницкий Алексей Михайлович1, Гукасов Вадим Михайлович2</dc:creator>
  <cp:keywords/>
  <dcterms:created xsi:type="dcterms:W3CDTF">2023-03-29T23:36:18Z</dcterms:created>
  <dcterms:modified xsi:type="dcterms:W3CDTF">2023-03-29T23:36:18Z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gost-num-appear.csl</vt:lpwstr>
  </property>
  <property fmtid="{D5CDD505-2E9C-101B-9397-08002B2CF9AE}" pid="7" name="editor">
    <vt:lpwstr>visual</vt:lpwstr>
  </property>
  <property fmtid="{D5CDD505-2E9C-101B-9397-08002B2CF9AE}" pid="8" name="fontsize">
    <vt:lpwstr>14pt</vt:lpwstr>
  </property>
  <property fmtid="{D5CDD505-2E9C-101B-9397-08002B2CF9AE}" pid="9" name="geometry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nestretch">
    <vt:lpwstr>1.5</vt:lpwstr>
  </property>
  <property fmtid="{D5CDD505-2E9C-101B-9397-08002B2CF9AE}" pid="15" name="mainfont">
    <vt:lpwstr>Arial</vt:lpwstr>
  </property>
  <property fmtid="{D5CDD505-2E9C-101B-9397-08002B2CF9AE}" pid="16" name="monofont">
    <vt:lpwstr>Arial</vt:lpwstr>
  </property>
  <property fmtid="{D5CDD505-2E9C-101B-9397-08002B2CF9AE}" pid="17" name="sansfont">
    <vt:lpwstr>Arial</vt:lpwstr>
  </property>
  <property fmtid="{D5CDD505-2E9C-101B-9397-08002B2CF9AE}" pid="18" name="tbl-cap-location">
    <vt:lpwstr>top</vt:lpwstr>
  </property>
  <property fmtid="{D5CDD505-2E9C-101B-9397-08002B2CF9AE}" pid="19" name="toc-title">
    <vt:lpwstr>Оглавление</vt:lpwstr>
  </property>
</Properties>
</file>