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5"/>
      </w:pPr>
      <w:r>
        <w:t xml:space="preserve">Предсказание</w:t>
      </w:r>
      <w:r>
        <w:t xml:space="preserve"> </w:t>
      </w:r>
      <w:r>
        <w:t xml:space="preserve">антигенов</w:t>
      </w:r>
      <w:r>
        <w:t xml:space="preserve"> </w:t>
      </w:r>
      <w:r>
        <w:t xml:space="preserve">по</w:t>
      </w:r>
      <w:r>
        <w:t xml:space="preserve"> </w:t>
      </w:r>
      <w:r>
        <w:t xml:space="preserve">последовательностям</w:t>
      </w:r>
      <w:r>
        <w:t xml:space="preserve"> </w:t>
      </w:r>
      <w:r>
        <w:t xml:space="preserve">белка</w:t>
      </w:r>
    </w:p>
    <w:p>
      <w:pPr>
        <w:pStyle w:val="Author"/>
      </w:pPr>
      <w:r>
        <w:t xml:space="preserve">Антон</w:t>
      </w:r>
      <w:r>
        <w:t xml:space="preserve"> </w:t>
      </w:r>
      <w:r>
        <w:t xml:space="preserve">Смирнов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27,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f9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редисловие"/>
    <w:p>
      <w:pPr>
        <w:pStyle w:val="1"/>
      </w:pPr>
      <w:r>
        <w:t xml:space="preserve">Предисловие</w:t>
      </w:r>
    </w:p>
    <w:p>
      <w:pPr>
        <w:pStyle w:val="FirstParagraph"/>
      </w:pPr>
      <w:r>
        <w:t xml:space="preserve">Данная книга является отчетом о проделанной исследовательской работе. Тема иследовательской работы является предсказание с помощью математических методов антигенных детерминант по исходным последовательностям белков.</w:t>
      </w:r>
    </w:p>
    <w:bookmarkEnd w:id="20"/>
    <w:bookmarkStart w:id="21" w:name="список-сокращений"/>
    <w:p>
      <w:pPr>
        <w:pStyle w:val="1"/>
      </w:pPr>
      <w:r>
        <w:t xml:space="preserve">1. Список сокращений</w:t>
      </w:r>
    </w:p>
    <w:p>
      <w:pPr>
        <w:numPr>
          <w:ilvl w:val="0"/>
          <w:numId w:val="1001"/>
        </w:numPr>
      </w:pPr>
      <w:r>
        <w:t xml:space="preserve">МНС - Major histocompatibility complex - главный комплекс гистосовместимости</w:t>
      </w:r>
    </w:p>
    <w:p>
      <w:pPr>
        <w:numPr>
          <w:ilvl w:val="0"/>
          <w:numId w:val="1001"/>
        </w:numPr>
      </w:pPr>
      <w:r>
        <w:t xml:space="preserve">ТКР - Т-клеточный рецептор</w:t>
      </w:r>
    </w:p>
    <w:p>
      <w:pPr>
        <w:numPr>
          <w:ilvl w:val="0"/>
          <w:numId w:val="1001"/>
        </w:numPr>
      </w:pPr>
      <w:r>
        <w:t xml:space="preserve">CDR - complementarity determining region - регион, определяющий комплементарность</w:t>
      </w:r>
    </w:p>
    <w:bookmarkEnd w:id="21"/>
    <w:bookmarkStart w:id="22" w:name="введение"/>
    <w:p>
      <w:pPr>
        <w:pStyle w:val="1"/>
      </w:pPr>
      <w:r>
        <w:t xml:space="preserve">2. Введение</w:t>
      </w:r>
    </w:p>
    <w:p>
      <w:pPr>
        <w:pStyle w:val="FirstParagraph"/>
      </w:pPr>
      <w:r>
        <w:t xml:space="preserve">    Каждый организм стремится передать свой генетический материал потомкам. При этом у каждого организма должны быть механизмы защиты от конкурентов. Эти механизмы эволюционируют вместе с организмами. Примерно 500 миллионов лет назад, у хордовых скачкообразно возник ароморфоз: адаптивная иммунная система</w:t>
      </w:r>
      <w:r>
        <w:t xml:space="preserve">[2]</w:t>
      </w:r>
      <w:r>
        <w:t xml:space="preserve">. Иммунная система - специализированная система органов и тканей, обеспечивающих иммунитет</w:t>
      </w:r>
      <w:r>
        <w:t xml:space="preserve">[1]</w:t>
      </w:r>
      <w:r>
        <w:t xml:space="preserve">. Иммунитет - способ защиты организма от живых тел и веществ, несущих признаки чужеродной информации</w:t>
      </w:r>
      <w:r>
        <w:t xml:space="preserve">[1]</w:t>
      </w:r>
      <w:r>
        <w:t xml:space="preserve">. Вещества, которые несут такие признаки называются антигенами.</w:t>
      </w:r>
    </w:p>
    <w:p>
      <w:pPr>
        <w:pStyle w:val="BodyText"/>
      </w:pPr>
      <w:r>
        <w:t xml:space="preserve">    Адаптивность</w:t>
      </w:r>
      <w:r>
        <w:t xml:space="preserve"> </w:t>
      </w:r>
      <w:r>
        <w:t xml:space="preserve">“</w:t>
      </w:r>
      <w:r>
        <w:t xml:space="preserve">новинки</w:t>
      </w:r>
      <w:r>
        <w:t xml:space="preserve">”</w:t>
      </w:r>
      <w:r>
        <w:t xml:space="preserve"> </w:t>
      </w:r>
      <w:r>
        <w:t xml:space="preserve">проявляется в том, что спектр антигенов, против которых защищает адаптивная иммунная система, не наследуется, а формируется в процессе жизни организма и определяется теми антигенами, с которыми встречался организм на протяжении жизни. Т- и В-лимфоциты, составляющие адаптивную иммунную систему, распознают участок молекулы антигена, которые называется эпитоп (антигенная детерминанта).</w:t>
      </w:r>
    </w:p>
    <w:p>
      <w:pPr>
        <w:pStyle w:val="BodyText"/>
      </w:pPr>
      <w:r>
        <w:t xml:space="preserve">    Существуют разница в том, как и с помощью каких молекул распознается антиген Т- и В-лимофцитами. B-лимфоциты способны распознавать нативный антиген с помощью В-клеточного рецептора. Т-лимфоциты способны распознавать только антигены, презентированные на главном комплексе гистосовместимости (МНС), с помощью своих Т-клеточных рецепторов (ТКР). ТКР содержит 4 особых участка на обеих цепях, ответственные за распознавание комплекса эпитоп-МНС - регионы, определяющие комплементарность (CDR). В данной работе будет рассмотрено, как организм подгатавливает антигены для распознавания Т-лимфоцитами и как этот процесс можно предсказывать, и будет предложен новый подход к предсказанаию результата этого процесса.</w:t>
      </w:r>
    </w:p>
    <w:p>
      <w:pPr>
        <w:pStyle w:val="BodyText"/>
      </w:pPr>
      <w:r>
        <w:t xml:space="preserve">    Математическая оценка возможного количества</w:t>
      </w:r>
      <w:r>
        <w:t xml:space="preserve"> </w:t>
      </w:r>
      <m:oMath>
        <m:r>
          <m:t>β</m:t>
        </m:r>
      </m:oMath>
      <w:r>
        <w:t xml:space="preserve">-цепей ТКР равно</w:t>
      </w:r>
      <w:r>
        <w:t xml:space="preserve"> </w:t>
      </w:r>
      <m:oMath>
        <m:sSup>
          <m:e>
            <m:r>
              <m:t>10</m:t>
            </m:r>
          </m:e>
          <m:sup>
            <m:r>
              <m:t>14</m:t>
            </m:r>
          </m:sup>
        </m:sSup>
      </m:oMath>
      <w:r>
        <w:t xml:space="preserve"> </w:t>
      </w:r>
      <w:r>
        <w:t xml:space="preserve">[3]</w:t>
      </w:r>
      <w:r>
        <w:t xml:space="preserve">. Количество возможных белков длины n из 20 основных протеиногенных аминокислот равняется</w:t>
      </w:r>
      <w:r>
        <w:t xml:space="preserve"> </w:t>
      </w:r>
      <m:oMath>
        <m:sSup>
          <m:e>
            <m:r>
              <m:t>20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и из этого разнообразия возможно появление ещё большего числа пептидов, которые могут быть эпитопами. Невозможно и нецелесообразно проверять все сочетания этого разнообразия на предмет наличия или отсутствия взаимодействия экспериментально. Однако за 50 лет активной работы был накомплен огромный массив данных о процессах подготовки антигенов, их презентации и распознавания целевыми молекулами, в нашем случае ТКР. Эти данные аккумулированы в различные базы данных и базы знаний, которые позволяют учёным строить математические модели для предсказания результатов разных этапов процессинга антигенов, наличия или отсутствия иммуногенности и аллергенности эпитопов.</w:t>
      </w:r>
    </w:p>
    <w:p>
      <w:pPr>
        <w:pStyle w:val="BodyText"/>
      </w:pPr>
      <w:r>
        <w:t xml:space="preserve">    Над построением математических моделей работает большое количество ученых уже больше двадцати лет: первые программы начали появляться в начале нулевых годов этого века. Данные модели крайне полезны в вакцинологии и онкологии. В вакцинологии они используются для проектирования вакцин от различных заболеваний, в частности от лихорадки Эбола и COVID-19. Для онкологии они используются для предсказания неоантигенов. Неоантигены - новые антигены, которых нет в здоровых клетках и которые появились в раковых в процессе накопления новых генетических вариантов в сравнении с исходными, герминальными клетками. Без предсказания антигенов и неоантигенов невозможна персонализированная иммунотерапия опухолей. С течением времени качество моделей заметно росло и современные модели показывают хорошие результаты, но они ограничены небольшой выборкой людей, к которым они применимы. Существующие аналоги, как правило, позволяют предсказывать результат одного из этапов процессинга и работают на алгоритмах, требующих эмбеддинга, то есть представления последовательности белка в виде числовых векторов. Целью данной работы я строю целостную модель</w:t>
      </w:r>
      <w:r>
        <w:t xml:space="preserve"> </w:t>
      </w:r>
      <w:r>
        <w:t xml:space="preserve">“</w:t>
      </w:r>
      <w:r>
        <w:t xml:space="preserve">структура-активность</w:t>
      </w:r>
      <w:r>
        <w:t xml:space="preserve">”</w:t>
      </w:r>
      <w:r>
        <w:t xml:space="preserve"> </w:t>
      </w:r>
      <w:r>
        <w:t xml:space="preserve">процессинга антигена для МНС первого класса. Под целостной моделью я подразумеваю рассмотрение процессинга антигенов как единой системы, где каждый предыдущий результат подстроен и оптимизирован для следующего этапа. В моей модели структура белков будет использована в виде совокупности молекулярных фрагментов, а не числовых векторов. Для выполнения цели данной работы необходимо решить следующие задачи:</w:t>
      </w:r>
    </w:p>
    <w:p>
      <w:pPr>
        <w:numPr>
          <w:ilvl w:val="0"/>
          <w:numId w:val="1002"/>
        </w:numPr>
      </w:pPr>
      <w:r>
        <w:t xml:space="preserve">Исследовать литературу по процессингу антигенов для МНС первого класса, существующим аналогам и алгоритмам их работы;</w:t>
      </w:r>
    </w:p>
    <w:p>
      <w:pPr>
        <w:numPr>
          <w:ilvl w:val="0"/>
          <w:numId w:val="1002"/>
        </w:numPr>
      </w:pPr>
      <w:r>
        <w:t xml:space="preserve">Разработать концепт системы, определить алгоритмы и метрики, которые будут использованы для разработки частей системы;</w:t>
      </w:r>
    </w:p>
    <w:p>
      <w:pPr>
        <w:numPr>
          <w:ilvl w:val="0"/>
          <w:numId w:val="1002"/>
        </w:numPr>
      </w:pPr>
      <w:r>
        <w:t xml:space="preserve">Охарактеризовать имеющиеся необходимые источники данных для моделирования, подготовить выборки для обучения и валидации;</w:t>
      </w:r>
    </w:p>
    <w:p>
      <w:pPr>
        <w:numPr>
          <w:ilvl w:val="0"/>
          <w:numId w:val="1002"/>
        </w:numPr>
      </w:pPr>
      <w:r>
        <w:t xml:space="preserve">Построить модели, оценить их качество;</w:t>
      </w:r>
    </w:p>
    <w:p>
      <w:pPr>
        <w:numPr>
          <w:ilvl w:val="0"/>
          <w:numId w:val="1002"/>
        </w:numPr>
      </w:pPr>
      <w:r>
        <w:t xml:space="preserve">Разработать веб-сервис для общедоступного использования построенных моделей.</w:t>
      </w:r>
    </w:p>
    <w:p>
      <w:pPr>
        <w:pStyle w:val="FirstParagraph"/>
      </w:pPr>
      <w:r>
        <w:t xml:space="preserve">В дальнейшем я надеюсь, что построенная система будет пригодна к использованию в исследовательской и клинической практике.</w:t>
      </w:r>
    </w:p>
    <w:bookmarkEnd w:id="22"/>
    <w:bookmarkStart w:id="23" w:name="главный-комплекс-гистосовместимости"/>
    <w:p>
      <w:pPr>
        <w:pStyle w:val="1"/>
      </w:pPr>
      <w:r>
        <w:t xml:space="preserve">3. Главный комплекс гистосовместимости</w:t>
      </w:r>
    </w:p>
    <w:p>
      <w:pPr>
        <w:pStyle w:val="FirstParagraph"/>
      </w:pPr>
      <w:r>
        <w:t xml:space="preserve">Главный комплекс гистосовместимости - комплекс тесно связанных генетических локусов, а также их белковых продуктов, отвечающих за развитие иммунного ответа и синтез трансплантационных антигенов.</w:t>
      </w:r>
    </w:p>
    <w:bookmarkEnd w:id="23"/>
    <w:bookmarkStart w:id="24" w:name="процессинг-антигенов-для-mhc-i"/>
    <w:p>
      <w:pPr>
        <w:pStyle w:val="1"/>
      </w:pPr>
      <w:r>
        <w:t xml:space="preserve">4. Процессинг антигенов для MHC I</w:t>
      </w:r>
    </w:p>
    <w:bookmarkEnd w:id="24"/>
    <w:bookmarkStart w:id="25" w:name="процессинг-антигенов-для-mhc-ii"/>
    <w:p>
      <w:pPr>
        <w:pStyle w:val="1"/>
      </w:pPr>
      <w:r>
        <w:t xml:space="preserve">5. Процессинг антигенов для MHC II</w:t>
      </w:r>
    </w:p>
    <w:bookmarkEnd w:id="25"/>
    <w:bookmarkStart w:id="26" w:name="X0646f9794dd8a1ee846f67c0e14110883cba8b6"/>
    <w:p>
      <w:pPr>
        <w:pStyle w:val="1"/>
      </w:pPr>
      <w:r>
        <w:t xml:space="preserve">6. Программы и сервисы для предсказания Т-клеточных антигенов</w:t>
      </w:r>
    </w:p>
    <w:bookmarkEnd w:id="26"/>
    <w:bookmarkStart w:id="32" w:name="список-литературы"/>
    <w:p>
      <w:pPr>
        <w:pStyle w:val="1"/>
      </w:pPr>
      <w:r>
        <w:t xml:space="preserve">Список литературы</w:t>
      </w:r>
    </w:p>
    <w:bookmarkStart w:id="31" w:name="refs"/>
    <w:bookmarkStart w:id="27" w:name="ref-gankovskaya2014"/>
    <w:p>
      <w:pPr>
        <w:pStyle w:val="Bibliography"/>
      </w:pPr>
      <w:r>
        <w:t xml:space="preserve">1. Ганковская Л. В. Основы общей иммунологии. Учебно-методическое пособие для студентов медицинских вузов / Л. В. Ганковская, Л. С. Намазова-Баранова, Р. Я. Мешкова. – Москва : ПедиатрЪ, 2014.1. Ганковская Л. В. Основы общей иммунологии. Учебно-методическое пособие для студентов медицинских вузов / Л. В. Ганковская, Л. С. Намазова-Баранова, Р. Я. Мешкова. – Москва : ПедиатрЪ, 2014.</w:t>
      </w:r>
    </w:p>
    <w:bookmarkEnd w:id="27"/>
    <w:bookmarkStart w:id="28" w:name="ref-yarilin2010"/>
    <w:p>
      <w:pPr>
        <w:pStyle w:val="Bibliography"/>
      </w:pPr>
      <w:r>
        <w:t xml:space="preserve">2. Ярилин А. А. Иммунология / А. А. Ярилин. – Москва : ГЭОТАР-Медиа, 2010.2. Ярилин А. А. Иммунология / А. А. Ярилин. – Москва : ГЭОТАР-Медиа, 2010.</w:t>
      </w:r>
    </w:p>
    <w:bookmarkEnd w:id="28"/>
    <w:bookmarkStart w:id="30" w:name="ref-murugan2012"/>
    <w:p>
      <w:pPr>
        <w:pStyle w:val="Bibliography"/>
      </w:pPr>
      <w:r>
        <w:t xml:space="preserve">3. Murugan A.</w:t>
      </w:r>
      <w:r>
        <w:t xml:space="preserve"> </w:t>
      </w:r>
      <w:hyperlink r:id="rId29">
        <w:r>
          <w:rPr>
            <w:rStyle w:val="a6"/>
          </w:rPr>
          <w:t xml:space="preserve">Statistical inference of the generation probability of T-cell receptors from sequence repertoires</w:t>
        </w:r>
      </w:hyperlink>
      <w:r>
        <w:t xml:space="preserve"> </w:t>
      </w:r>
      <w:r>
        <w:t xml:space="preserve">/ A. Murugan, T. Mora, A. M. Walczak, C. G. Callan // Proceedings of the National Academy of Sciences. – 2012. – Vol. 109. – № 40. – P. 16161-161663. Murugan A.</w:t>
      </w:r>
      <w:r>
        <w:t xml:space="preserve"> </w:t>
      </w:r>
      <w:hyperlink r:id="rId29">
        <w:r>
          <w:rPr>
            <w:rStyle w:val="a6"/>
          </w:rPr>
          <w:t xml:space="preserve">Statistical inference of the generation probability of T-cell receptors from sequence repertoires</w:t>
        </w:r>
      </w:hyperlink>
      <w:r>
        <w:t xml:space="preserve"> </w:t>
      </w:r>
      <w:r>
        <w:t xml:space="preserve">/ A. Murugan, T. Mora, A. M. Walczak, C. G. Callan // Proceedings of the National Academy of Sciences. – 2012. – Vol. 109. – № 40. – P. 16161-16166.</w:t>
      </w:r>
    </w:p>
    <w:bookmarkEnd w:id="30"/>
    <w:bookmarkEnd w:id="31"/>
    <w:bookmarkEnd w:id="32"/>
    <w:sectPr w:rsidR="005A6179" w:rsidSect="00625A61">
      <w:headerReference r:id="rId9" w:type="default"/>
      <w:pgSz w:code="9" w:h="16838" w:w="11906"/>
      <w:pgMar w:bottom="1134" w:footer="709" w:gutter="0" w:header="709" w:left="1701" w:right="851" w:top="1134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1C0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pStyle w:val="a"/>
      <w:lvlText w:val="%2."/>
      <w:lvlJc w:val="left"/>
      <w:pPr>
        <w:tabs>
          <w:tab w:pos="1080" w:val="num"/>
        </w:tabs>
        <w:ind w:hanging="360" w:left="108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hanging="360" w:left="1080"/>
      </w:pPr>
      <w:rPr>
        <w:rFonts w:hint="default"/>
        <w:color w:val="auto"/>
      </w:rPr>
    </w:lvl>
    <w:lvl w:ilvl="1" w:tentative="1" w:tplc="04190019">
      <w:start w:val="1"/>
      <w:numFmt w:val="lowerLetter"/>
      <w:lvlText w:val="%2."/>
      <w:lvlJc w:val="left"/>
      <w:pPr>
        <w:ind w:hanging="360" w:left="1800"/>
      </w:pPr>
    </w:lvl>
    <w:lvl w:ilvl="2" w:tentative="1" w:tplc="0419001B">
      <w:start w:val="1"/>
      <w:numFmt w:val="lowerRoman"/>
      <w:lvlText w:val="%3."/>
      <w:lvlJc w:val="right"/>
      <w:pPr>
        <w:ind w:hanging="180" w:left="2520"/>
      </w:pPr>
    </w:lvl>
    <w:lvl w:ilvl="3" w:tentative="1" w:tplc="0419000F">
      <w:start w:val="1"/>
      <w:numFmt w:val="decimal"/>
      <w:lvlText w:val="%4."/>
      <w:lvlJc w:val="left"/>
      <w:pPr>
        <w:ind w:hanging="360" w:left="3240"/>
      </w:pPr>
    </w:lvl>
    <w:lvl w:ilvl="4" w:tentative="1" w:tplc="04190019">
      <w:start w:val="1"/>
      <w:numFmt w:val="lowerLetter"/>
      <w:lvlText w:val="%5."/>
      <w:lvlJc w:val="left"/>
      <w:pPr>
        <w:ind w:hanging="360" w:left="3960"/>
      </w:pPr>
    </w:lvl>
    <w:lvl w:ilvl="5" w:tentative="1" w:tplc="0419001B">
      <w:start w:val="1"/>
      <w:numFmt w:val="lowerRoman"/>
      <w:lvlText w:val="%6."/>
      <w:lvlJc w:val="right"/>
      <w:pPr>
        <w:ind w:hanging="180" w:left="4680"/>
      </w:pPr>
    </w:lvl>
    <w:lvl w:ilvl="6" w:tentative="1" w:tplc="0419000F">
      <w:start w:val="1"/>
      <w:numFmt w:val="decimal"/>
      <w:lvlText w:val="%7."/>
      <w:lvlJc w:val="left"/>
      <w:pPr>
        <w:ind w:hanging="360" w:left="5400"/>
      </w:pPr>
    </w:lvl>
    <w:lvl w:ilvl="7" w:tentative="1" w:tplc="04190019">
      <w:start w:val="1"/>
      <w:numFmt w:val="lowerLetter"/>
      <w:lvlText w:val="%8."/>
      <w:lvlJc w:val="left"/>
      <w:pPr>
        <w:ind w:hanging="360" w:left="6120"/>
      </w:pPr>
    </w:lvl>
    <w:lvl w:ilvl="8" w:tentative="1" w:tplc="0419001B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hanging="360" w:left="1429"/>
      </w:pPr>
    </w:lvl>
    <w:lvl w:ilvl="1" w:tentative="1" w:tplc="04190019">
      <w:start w:val="1"/>
      <w:numFmt w:val="lowerLetter"/>
      <w:lvlText w:val="%2."/>
      <w:lvlJc w:val="left"/>
      <w:pPr>
        <w:ind w:hanging="360" w:left="2149"/>
      </w:pPr>
    </w:lvl>
    <w:lvl w:ilvl="2" w:tentative="1" w:tplc="0419001B">
      <w:start w:val="1"/>
      <w:numFmt w:val="lowerRoman"/>
      <w:lvlText w:val="%3."/>
      <w:lvlJc w:val="right"/>
      <w:pPr>
        <w:ind w:hanging="180" w:left="2869"/>
      </w:pPr>
    </w:lvl>
    <w:lvl w:ilvl="3" w:tentative="1" w:tplc="0419000F">
      <w:start w:val="1"/>
      <w:numFmt w:val="decimal"/>
      <w:lvlText w:val="%4."/>
      <w:lvlJc w:val="left"/>
      <w:pPr>
        <w:ind w:hanging="360" w:left="3589"/>
      </w:pPr>
    </w:lvl>
    <w:lvl w:ilvl="4" w:tentative="1" w:tplc="04190019">
      <w:start w:val="1"/>
      <w:numFmt w:val="lowerLetter"/>
      <w:lvlText w:val="%5."/>
      <w:lvlJc w:val="left"/>
      <w:pPr>
        <w:ind w:hanging="360" w:left="4309"/>
      </w:pPr>
    </w:lvl>
    <w:lvl w:ilvl="5" w:tentative="1" w:tplc="0419001B">
      <w:start w:val="1"/>
      <w:numFmt w:val="lowerRoman"/>
      <w:lvlText w:val="%6."/>
      <w:lvlJc w:val="right"/>
      <w:pPr>
        <w:ind w:hanging="180" w:left="5029"/>
      </w:pPr>
    </w:lvl>
    <w:lvl w:ilvl="6" w:tentative="1" w:tplc="0419000F">
      <w:start w:val="1"/>
      <w:numFmt w:val="decimal"/>
      <w:lvlText w:val="%7."/>
      <w:lvlJc w:val="left"/>
      <w:pPr>
        <w:ind w:hanging="360" w:left="5749"/>
      </w:pPr>
    </w:lvl>
    <w:lvl w:ilvl="7" w:tentative="1" w:tplc="04190019">
      <w:start w:val="1"/>
      <w:numFmt w:val="lowerLetter"/>
      <w:lvlText w:val="%8."/>
      <w:lvlJc w:val="left"/>
      <w:pPr>
        <w:ind w:hanging="360" w:left="6469"/>
      </w:pPr>
    </w:lvl>
    <w:lvl w:ilvl="8" w:tentative="1" w:tplc="0419001B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hanging="360" w:left="108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800"/>
      </w:pPr>
    </w:lvl>
    <w:lvl w:ilvl="2" w:tentative="1" w:tplc="0419001B">
      <w:start w:val="1"/>
      <w:numFmt w:val="lowerRoman"/>
      <w:lvlText w:val="%3."/>
      <w:lvlJc w:val="right"/>
      <w:pPr>
        <w:ind w:hanging="180" w:left="2520"/>
      </w:pPr>
    </w:lvl>
    <w:lvl w:ilvl="3" w:tentative="1" w:tplc="0419000F">
      <w:start w:val="1"/>
      <w:numFmt w:val="decimal"/>
      <w:lvlText w:val="%4."/>
      <w:lvlJc w:val="left"/>
      <w:pPr>
        <w:ind w:hanging="360" w:left="3240"/>
      </w:pPr>
    </w:lvl>
    <w:lvl w:ilvl="4" w:tentative="1" w:tplc="04190019">
      <w:start w:val="1"/>
      <w:numFmt w:val="lowerLetter"/>
      <w:lvlText w:val="%5."/>
      <w:lvlJc w:val="left"/>
      <w:pPr>
        <w:ind w:hanging="360" w:left="3960"/>
      </w:pPr>
    </w:lvl>
    <w:lvl w:ilvl="5" w:tentative="1" w:tplc="0419001B">
      <w:start w:val="1"/>
      <w:numFmt w:val="lowerRoman"/>
      <w:lvlText w:val="%6."/>
      <w:lvlJc w:val="right"/>
      <w:pPr>
        <w:ind w:hanging="180" w:left="4680"/>
      </w:pPr>
    </w:lvl>
    <w:lvl w:ilvl="6" w:tentative="1" w:tplc="0419000F">
      <w:start w:val="1"/>
      <w:numFmt w:val="decimal"/>
      <w:lvlText w:val="%7."/>
      <w:lvlJc w:val="left"/>
      <w:pPr>
        <w:ind w:hanging="360" w:left="5400"/>
      </w:pPr>
    </w:lvl>
    <w:lvl w:ilvl="7" w:tentative="1" w:tplc="04190019">
      <w:start w:val="1"/>
      <w:numFmt w:val="lowerLetter"/>
      <w:lvlText w:val="%8."/>
      <w:lvlJc w:val="left"/>
      <w:pPr>
        <w:ind w:hanging="360" w:left="6120"/>
      </w:pPr>
    </w:lvl>
    <w:lvl w:ilvl="8" w:tentative="1" w:tplc="0419001B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hanging="360" w:left="1069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789"/>
      </w:pPr>
    </w:lvl>
    <w:lvl w:ilvl="2" w:tentative="1" w:tplc="0419001B">
      <w:start w:val="1"/>
      <w:numFmt w:val="lowerRoman"/>
      <w:lvlText w:val="%3."/>
      <w:lvlJc w:val="right"/>
      <w:pPr>
        <w:ind w:hanging="180" w:left="2509"/>
      </w:pPr>
    </w:lvl>
    <w:lvl w:ilvl="3" w:tentative="1" w:tplc="0419000F">
      <w:start w:val="1"/>
      <w:numFmt w:val="decimal"/>
      <w:lvlText w:val="%4."/>
      <w:lvlJc w:val="left"/>
      <w:pPr>
        <w:ind w:hanging="360" w:left="3229"/>
      </w:pPr>
    </w:lvl>
    <w:lvl w:ilvl="4" w:tentative="1" w:tplc="04190019">
      <w:start w:val="1"/>
      <w:numFmt w:val="lowerLetter"/>
      <w:lvlText w:val="%5."/>
      <w:lvlJc w:val="left"/>
      <w:pPr>
        <w:ind w:hanging="360" w:left="3949"/>
      </w:pPr>
    </w:lvl>
    <w:lvl w:ilvl="5" w:tentative="1" w:tplc="0419001B">
      <w:start w:val="1"/>
      <w:numFmt w:val="lowerRoman"/>
      <w:lvlText w:val="%6."/>
      <w:lvlJc w:val="right"/>
      <w:pPr>
        <w:ind w:hanging="180" w:left="4669"/>
      </w:pPr>
    </w:lvl>
    <w:lvl w:ilvl="6" w:tentative="1" w:tplc="0419000F">
      <w:start w:val="1"/>
      <w:numFmt w:val="decimal"/>
      <w:lvlText w:val="%7."/>
      <w:lvlJc w:val="left"/>
      <w:pPr>
        <w:ind w:hanging="360" w:left="5389"/>
      </w:pPr>
    </w:lvl>
    <w:lvl w:ilvl="7" w:tentative="1" w:tplc="04190019">
      <w:start w:val="1"/>
      <w:numFmt w:val="lowerLetter"/>
      <w:lvlText w:val="%8."/>
      <w:lvlJc w:val="left"/>
      <w:pPr>
        <w:ind w:hanging="360" w:left="6109"/>
      </w:pPr>
    </w:lvl>
    <w:lvl w:ilvl="8" w:tentative="1" w:tplc="0419001B">
      <w:start w:val="1"/>
      <w:numFmt w:val="lowerRoman"/>
      <w:lvlText w:val="%9."/>
      <w:lvlJc w:val="right"/>
      <w:pPr>
        <w:ind w:hanging="180" w:left="6829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hanging="450" w:left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160" w:left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default="1" w:styleId="a0" w:type="paragraph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cs="Times New Roman" w:hAnsi="Times New Roman"/>
      <w:sz w:val="28"/>
      <w:szCs w:val="28"/>
    </w:rPr>
  </w:style>
  <w:style w:styleId="1" w:type="paragraph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</w:rPr>
  </w:style>
  <w:style w:styleId="2" w:type="paragraph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3" w:type="paragraph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5B9BD5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List Paragraph"/>
    <w:basedOn w:val="a0"/>
    <w:link w:val="a5"/>
    <w:uiPriority w:val="34"/>
    <w:rsid w:val="000C041C"/>
    <w:pPr>
      <w:ind w:left="720"/>
    </w:pPr>
  </w:style>
  <w:style w:styleId="a6" w:type="character">
    <w:name w:val="Hyperlink"/>
    <w:basedOn w:val="a1"/>
    <w:uiPriority w:val="99"/>
    <w:unhideWhenUsed/>
    <w:rsid w:val="00156DED"/>
    <w:rPr>
      <w:color w:themeColor="hyperlink" w:val="0563C1"/>
      <w:u w:val="single"/>
    </w:rPr>
  </w:style>
  <w:style w:customStyle="1" w:styleId="20" w:type="character">
    <w:name w:val="Заголовок 2 Знак"/>
    <w:basedOn w:val="a1"/>
    <w:link w:val="2"/>
    <w:uiPriority w:val="9"/>
    <w:rsid w:val="005A6179"/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a7" w:type="paragraph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customStyle="1" w:styleId="a8" w:type="character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styleId="a9" w:type="character">
    <w:name w:val="footnote reference"/>
    <w:basedOn w:val="a1"/>
    <w:uiPriority w:val="99"/>
    <w:semiHidden/>
    <w:unhideWhenUsed/>
    <w:rsid w:val="00B47F14"/>
    <w:rPr>
      <w:vertAlign w:val="superscript"/>
    </w:rPr>
  </w:style>
  <w:style w:styleId="aa" w:type="paragraph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cs="Tahoma" w:hAnsi="Tahoma"/>
      <w:sz w:val="16"/>
      <w:szCs w:val="16"/>
    </w:rPr>
  </w:style>
  <w:style w:customStyle="1" w:styleId="ab" w:type="character">
    <w:name w:val="Текст выноски Знак"/>
    <w:basedOn w:val="a1"/>
    <w:link w:val="aa"/>
    <w:uiPriority w:val="99"/>
    <w:semiHidden/>
    <w:rsid w:val="00B47F14"/>
    <w:rPr>
      <w:rFonts w:ascii="Tahoma" w:cs="Tahoma" w:hAnsi="Tahoma"/>
      <w:sz w:val="16"/>
      <w:szCs w:val="16"/>
    </w:rPr>
  </w:style>
  <w:style w:styleId="ac" w:type="paragraph">
    <w:name w:val="No Spacing"/>
    <w:uiPriority w:val="1"/>
    <w:rsid w:val="000B2138"/>
    <w:pPr>
      <w:spacing w:after="0" w:line="240" w:lineRule="auto"/>
    </w:pPr>
  </w:style>
  <w:style w:styleId="ad" w:type="paragraph">
    <w:name w:val="Normal (Web)"/>
    <w:basedOn w:val="a0"/>
    <w:uiPriority w:val="99"/>
    <w:semiHidden/>
    <w:unhideWhenUsed/>
    <w:rsid w:val="00063A2E"/>
    <w:pPr>
      <w:spacing w:after="100" w:afterAutospacing="1" w:before="100" w:beforeAutospacing="1" w:line="240" w:lineRule="auto"/>
    </w:pPr>
    <w:rPr>
      <w:rFonts w:eastAsia="Times New Roman"/>
      <w:sz w:val="24"/>
      <w:szCs w:val="24"/>
      <w:lang w:eastAsia="ru-RU"/>
    </w:rPr>
  </w:style>
  <w:style w:styleId="ae" w:type="paragraph">
    <w:name w:val="footer"/>
    <w:basedOn w:val="a0"/>
    <w:link w:val="af"/>
    <w:uiPriority w:val="99"/>
    <w:unhideWhenUsed/>
    <w:rsid w:val="00063A2E"/>
    <w:pPr>
      <w:tabs>
        <w:tab w:pos="4677" w:val="center"/>
        <w:tab w:pos="9355" w:val="right"/>
      </w:tabs>
      <w:spacing w:line="240" w:lineRule="auto"/>
    </w:pPr>
  </w:style>
  <w:style w:customStyle="1" w:styleId="af" w:type="character">
    <w:name w:val="Нижний колонтитул Знак"/>
    <w:basedOn w:val="a1"/>
    <w:link w:val="ae"/>
    <w:uiPriority w:val="99"/>
    <w:rsid w:val="00063A2E"/>
  </w:style>
  <w:style w:styleId="af0" w:type="paragraph">
    <w:name w:val="header"/>
    <w:basedOn w:val="a0"/>
    <w:link w:val="af1"/>
    <w:uiPriority w:val="99"/>
    <w:unhideWhenUsed/>
    <w:rsid w:val="00063A2E"/>
    <w:pPr>
      <w:tabs>
        <w:tab w:pos="4677" w:val="center"/>
        <w:tab w:pos="9355" w:val="right"/>
      </w:tabs>
      <w:spacing w:line="240" w:lineRule="auto"/>
    </w:pPr>
  </w:style>
  <w:style w:customStyle="1" w:styleId="af1" w:type="character">
    <w:name w:val="Верхний колонтитул Знак"/>
    <w:basedOn w:val="a1"/>
    <w:link w:val="af0"/>
    <w:uiPriority w:val="99"/>
    <w:rsid w:val="00063A2E"/>
  </w:style>
  <w:style w:customStyle="1" w:styleId="af2" w:type="paragraph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customStyle="1" w:styleId="af3" w:type="paragraph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styleId="af4" w:type="character">
    <w:name w:val="Strong"/>
    <w:basedOn w:val="a1"/>
    <w:uiPriority w:val="22"/>
    <w:rsid w:val="00844F24"/>
    <w:rPr>
      <w:b/>
      <w:bCs/>
    </w:rPr>
  </w:style>
  <w:style w:styleId="21" w:type="paragraph">
    <w:name w:val="toc 2"/>
    <w:basedOn w:val="a0"/>
    <w:next w:val="a0"/>
    <w:autoRedefine/>
    <w:uiPriority w:val="39"/>
    <w:unhideWhenUsed/>
    <w:rsid w:val="00625A61"/>
    <w:pPr>
      <w:tabs>
        <w:tab w:pos="1760" w:val="left"/>
        <w:tab w:leader="dot" w:pos="9356" w:val="right"/>
      </w:tabs>
      <w:spacing w:after="100"/>
      <w:ind w:firstLine="347" w:left="220" w:right="424"/>
    </w:pPr>
  </w:style>
  <w:style w:styleId="af5" w:type="paragraph">
    <w:name w:val="Title"/>
    <w:basedOn w:val="a0"/>
    <w:next w:val="a0"/>
    <w:link w:val="af6"/>
    <w:uiPriority w:val="10"/>
    <w:rsid w:val="00DE0D4E"/>
    <w:pPr>
      <w:pageBreakBefore/>
      <w:spacing w:after="720"/>
      <w:ind w:firstLine="0" w:left="567" w:right="567"/>
      <w:jc w:val="center"/>
      <w:outlineLvl w:val="0"/>
    </w:pPr>
    <w:rPr>
      <w:rFonts w:eastAsia="Calibri"/>
      <w:b/>
      <w:caps/>
      <w:spacing w:val="-10"/>
      <w:kern w:val="28"/>
    </w:rPr>
  </w:style>
  <w:style w:customStyle="1" w:styleId="af6" w:type="character">
    <w:name w:val="Название Знак"/>
    <w:basedOn w:val="a1"/>
    <w:link w:val="af5"/>
    <w:uiPriority w:val="10"/>
    <w:rsid w:val="00DE0D4E"/>
    <w:rPr>
      <w:rFonts w:ascii="Times New Roman" w:cs="Times New Roman" w:eastAsia="Calibri" w:hAnsi="Times New Roman"/>
      <w:b/>
      <w:caps/>
      <w:spacing w:val="-10"/>
      <w:kern w:val="28"/>
      <w:sz w:val="28"/>
      <w:szCs w:val="28"/>
    </w:rPr>
  </w:style>
  <w:style w:styleId="11" w:type="paragraph">
    <w:name w:val="toc 1"/>
    <w:basedOn w:val="a0"/>
    <w:next w:val="a0"/>
    <w:autoRedefine/>
    <w:uiPriority w:val="39"/>
    <w:unhideWhenUsed/>
    <w:rsid w:val="00625A61"/>
    <w:pPr>
      <w:tabs>
        <w:tab w:leader="dot" w:pos="9356" w:val="right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customStyle="1" w:styleId="af7" w:type="paragraph">
    <w:name w:val="Параграфы"/>
    <w:basedOn w:val="a0"/>
    <w:link w:val="af8"/>
    <w:rsid w:val="008D11CE"/>
    <w:pPr>
      <w:keepNext/>
      <w:spacing w:after="480" w:before="720"/>
      <w:ind w:firstLine="0" w:left="709"/>
      <w:jc w:val="left"/>
      <w:outlineLvl w:val="1"/>
    </w:pPr>
    <w:rPr>
      <w:b/>
    </w:rPr>
  </w:style>
  <w:style w:customStyle="1" w:styleId="10" w:type="character">
    <w:name w:val="Заголовок 1 Знак"/>
    <w:basedOn w:val="a1"/>
    <w:link w:val="1"/>
    <w:uiPriority w:val="9"/>
    <w:rsid w:val="005A6179"/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customStyle="1" w:styleId="af8" w:type="character">
    <w:name w:val="Параграфы Знак"/>
    <w:basedOn w:val="a1"/>
    <w:link w:val="af7"/>
    <w:rsid w:val="008D11CE"/>
    <w:rPr>
      <w:rFonts w:ascii="Times New Roman" w:cs="Times New Roman" w:hAnsi="Times New Roman"/>
      <w:b/>
      <w:sz w:val="28"/>
      <w:szCs w:val="28"/>
    </w:rPr>
  </w:style>
  <w:style w:styleId="af9" w:type="paragraph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styleId="afa" w:type="table">
    <w:name w:val="Table Grid"/>
    <w:basedOn w:val="a2"/>
    <w:uiPriority w:val="59"/>
    <w:rsid w:val="00C66E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fb" w:type="paragraph">
    <w:name w:val="ВКР Пункт"/>
    <w:basedOn w:val="a0"/>
    <w:next w:val="afc"/>
    <w:link w:val="afd"/>
    <w:qFormat/>
    <w:rsid w:val="00F0114E"/>
    <w:pPr>
      <w:keepNext/>
      <w:spacing w:after="240" w:before="480"/>
      <w:contextualSpacing w:val="0"/>
      <w:jc w:val="left"/>
      <w:outlineLvl w:val="2"/>
    </w:pPr>
    <w:rPr>
      <w:b/>
    </w:rPr>
  </w:style>
  <w:style w:customStyle="1" w:styleId="afd" w:type="character">
    <w:name w:val="ВКР Пункт Знак"/>
    <w:basedOn w:val="a1"/>
    <w:link w:val="afb"/>
    <w:rsid w:val="00F0114E"/>
    <w:rPr>
      <w:rFonts w:ascii="Times New Roman" w:cs="Times New Roman" w:hAnsi="Times New Roman"/>
      <w:b/>
      <w:sz w:val="28"/>
      <w:szCs w:val="28"/>
    </w:rPr>
  </w:style>
  <w:style w:customStyle="1" w:styleId="-" w:type="paragraph">
    <w:name w:val="ВКР Глава-Раздел"/>
    <w:basedOn w:val="af5"/>
    <w:next w:val="afc"/>
    <w:link w:val="-0"/>
    <w:qFormat/>
    <w:rsid w:val="00E93D6F"/>
  </w:style>
  <w:style w:customStyle="1" w:styleId="afe" w:type="paragraph">
    <w:name w:val="ВКР Параграф"/>
    <w:basedOn w:val="af7"/>
    <w:next w:val="afc"/>
    <w:link w:val="aff"/>
    <w:qFormat/>
    <w:rsid w:val="00E93D6F"/>
  </w:style>
  <w:style w:customStyle="1" w:styleId="-0" w:type="character">
    <w:name w:val="ВКР Глава-Раздел Знак"/>
    <w:basedOn w:val="af6"/>
    <w:link w:val="-"/>
    <w:rsid w:val="00E93D6F"/>
    <w:rPr>
      <w:rFonts w:ascii="Times New Roman" w:cs="Times New Roman" w:eastAsia="Calibri" w:hAnsi="Times New Roman"/>
      <w:b/>
      <w:caps/>
      <w:spacing w:val="-10"/>
      <w:kern w:val="28"/>
      <w:sz w:val="28"/>
      <w:szCs w:val="28"/>
    </w:rPr>
  </w:style>
  <w:style w:customStyle="1" w:styleId="afc" w:type="paragraph">
    <w:name w:val="ВКР Обычный"/>
    <w:basedOn w:val="a0"/>
    <w:link w:val="aff0"/>
    <w:qFormat/>
    <w:rsid w:val="00E93D6F"/>
  </w:style>
  <w:style w:customStyle="1" w:styleId="aff" w:type="character">
    <w:name w:val="ВКР Параграф Знак"/>
    <w:basedOn w:val="af8"/>
    <w:link w:val="afe"/>
    <w:rsid w:val="00E93D6F"/>
    <w:rPr>
      <w:rFonts w:ascii="Times New Roman" w:cs="Times New Roman" w:hAnsi="Times New Roman"/>
      <w:b/>
      <w:sz w:val="28"/>
      <w:szCs w:val="28"/>
    </w:rPr>
  </w:style>
  <w:style w:customStyle="1" w:styleId="aff1" w:type="paragraph">
    <w:name w:val="ВКР Рисунок"/>
    <w:basedOn w:val="a0"/>
    <w:link w:val="aff2"/>
    <w:qFormat/>
    <w:rsid w:val="005A250E"/>
    <w:pPr>
      <w:spacing w:after="240" w:before="240"/>
      <w:ind w:firstLine="0"/>
      <w:jc w:val="center"/>
    </w:pPr>
  </w:style>
  <w:style w:customStyle="1" w:styleId="aff0" w:type="character">
    <w:name w:val="ВКР Обычный Знак"/>
    <w:basedOn w:val="a1"/>
    <w:link w:val="afc"/>
    <w:rsid w:val="00E93D6F"/>
    <w:rPr>
      <w:rFonts w:ascii="Times New Roman" w:cs="Times New Roman" w:hAnsi="Times New Roman"/>
      <w:sz w:val="28"/>
      <w:szCs w:val="28"/>
    </w:rPr>
  </w:style>
  <w:style w:customStyle="1" w:styleId="aff3" w:type="paragraph">
    <w:name w:val="ВКР Название таблицы"/>
    <w:basedOn w:val="a0"/>
    <w:link w:val="aff4"/>
    <w:qFormat/>
    <w:rsid w:val="00AA2952"/>
    <w:pPr>
      <w:keepNext/>
      <w:jc w:val="left"/>
    </w:pPr>
  </w:style>
  <w:style w:customStyle="1" w:styleId="aff2" w:type="character">
    <w:name w:val="ВКР Рисунок Знак"/>
    <w:basedOn w:val="a1"/>
    <w:link w:val="aff1"/>
    <w:rsid w:val="005A250E"/>
    <w:rPr>
      <w:rFonts w:ascii="Times New Roman" w:cs="Times New Roman" w:hAnsi="Times New Roman"/>
      <w:sz w:val="28"/>
      <w:szCs w:val="28"/>
    </w:rPr>
  </w:style>
  <w:style w:customStyle="1" w:styleId="a" w:type="paragraph">
    <w:name w:val="ВКР Литература"/>
    <w:basedOn w:val="a4"/>
    <w:link w:val="aff5"/>
    <w:qFormat/>
    <w:rsid w:val="001A0C5A"/>
    <w:pPr>
      <w:numPr>
        <w:ilvl w:val="1"/>
        <w:numId w:val="13"/>
      </w:numPr>
      <w:ind w:hanging="357" w:left="1066"/>
    </w:pPr>
  </w:style>
  <w:style w:customStyle="1" w:styleId="aff4" w:type="character">
    <w:name w:val="ВКР Название таблицы Знак"/>
    <w:basedOn w:val="a1"/>
    <w:link w:val="aff3"/>
    <w:rsid w:val="00AA2952"/>
    <w:rPr>
      <w:rFonts w:ascii="Times New Roman" w:cs="Times New Roman" w:hAnsi="Times New Roman"/>
      <w:sz w:val="28"/>
      <w:szCs w:val="28"/>
    </w:rPr>
  </w:style>
  <w:style w:customStyle="1" w:styleId="aff6" w:type="paragraph">
    <w:name w:val="ВКР Формула"/>
    <w:basedOn w:val="a0"/>
    <w:link w:val="aff7"/>
    <w:qFormat/>
    <w:rsid w:val="005A250E"/>
    <w:pPr>
      <w:spacing w:after="120" w:before="120"/>
      <w:ind w:firstLine="0"/>
      <w:contextualSpacing w:val="0"/>
      <w:jc w:val="right"/>
    </w:pPr>
    <w:rPr>
      <w:rFonts w:eastAsiaTheme="minorEastAsia"/>
    </w:rPr>
  </w:style>
  <w:style w:customStyle="1" w:styleId="a5" w:type="character">
    <w:name w:val="Абзац списка Знак"/>
    <w:basedOn w:val="a1"/>
    <w:link w:val="a4"/>
    <w:uiPriority w:val="34"/>
    <w:rsid w:val="001A0C5A"/>
    <w:rPr>
      <w:rFonts w:ascii="Times New Roman" w:cs="Times New Roman" w:hAnsi="Times New Roman"/>
      <w:sz w:val="28"/>
      <w:szCs w:val="28"/>
    </w:rPr>
  </w:style>
  <w:style w:customStyle="1" w:styleId="aff5" w:type="character">
    <w:name w:val="ВКР Литература Знак"/>
    <w:basedOn w:val="a5"/>
    <w:link w:val="a"/>
    <w:rsid w:val="001A0C5A"/>
    <w:rPr>
      <w:rFonts w:ascii="Times New Roman" w:cs="Times New Roman" w:hAnsi="Times New Roman"/>
      <w:sz w:val="28"/>
      <w:szCs w:val="28"/>
    </w:rPr>
  </w:style>
  <w:style w:customStyle="1" w:styleId="aff7" w:type="character">
    <w:name w:val="ВКР Формула Знак"/>
    <w:basedOn w:val="a1"/>
    <w:link w:val="aff6"/>
    <w:rsid w:val="005A250E"/>
    <w:rPr>
      <w:rFonts w:ascii="Times New Roman" w:cs="Times New Roman" w:eastAsiaTheme="minorEastAsia" w:hAnsi="Times New Roman"/>
      <w:sz w:val="28"/>
      <w:szCs w:val="28"/>
    </w:rPr>
  </w:style>
  <w:style w:customStyle="1" w:styleId="aff8" w:type="paragraph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styleId="31" w:type="paragraph">
    <w:name w:val="toc 3"/>
    <w:basedOn w:val="a0"/>
    <w:next w:val="a0"/>
    <w:autoRedefine/>
    <w:uiPriority w:val="39"/>
    <w:unhideWhenUsed/>
    <w:rsid w:val="00625A61"/>
    <w:pPr>
      <w:tabs>
        <w:tab w:leader="dot" w:pos="9356" w:val="right"/>
      </w:tabs>
      <w:spacing w:after="100"/>
      <w:ind w:left="560"/>
    </w:pPr>
  </w:style>
  <w:style w:customStyle="1" w:styleId="30" w:type="character">
    <w:name w:val="Заголовок 3 Знак"/>
    <w:basedOn w:val="a1"/>
    <w:link w:val="3"/>
    <w:uiPriority w:val="9"/>
    <w:semiHidden/>
    <w:rsid w:val="005A6179"/>
    <w:rPr>
      <w:rFonts w:asciiTheme="majorHAnsi" w:cstheme="majorBidi" w:eastAsiaTheme="majorEastAsia" w:hAnsiTheme="majorHAnsi"/>
      <w:b/>
      <w:bCs/>
      <w:color w:themeColor="accent1" w:val="5B9BD5"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https://doi.org/10.1073/pnas.12127551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73/pnas.1212755109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Предсказание антигенов по последовательностям белка</dc:title>
  <dc:creator>Антон Смирнов</dc:creator>
  <cp:keywords/>
  <dcterms:created xsi:type="dcterms:W3CDTF">2023-02-26T21:51:53Z</dcterms:created>
  <dcterms:modified xsi:type="dcterms:W3CDTF">2023-02-26T21:51:53Z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gost.csl</vt:lpwstr>
  </property>
  <property fmtid="{D5CDD505-2E9C-101B-9397-08002B2CF9AE}" pid="9" name="date">
    <vt:lpwstr>Feb 27, 2023</vt:lpwstr>
  </property>
  <property fmtid="{D5CDD505-2E9C-101B-9397-08002B2CF9AE}" pid="10" name="date-format">
    <vt:lpwstr>MMM D, YYYY</vt:lpwstr>
  </property>
  <property fmtid="{D5CDD505-2E9C-101B-9397-08002B2CF9AE}" pid="11" name="editor">
    <vt:lpwstr>visual</vt:lpwstr>
  </property>
  <property fmtid="{D5CDD505-2E9C-101B-9397-08002B2CF9AE}" pid="12" name="fontsize">
    <vt:lpwstr>14pt</vt:lpwstr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nestretch">
    <vt:lpwstr>1.5</vt:lpwstr>
  </property>
  <property fmtid="{D5CDD505-2E9C-101B-9397-08002B2CF9AE}" pid="19" name="mainfont">
    <vt:lpwstr>Arial</vt:lpwstr>
  </property>
  <property fmtid="{D5CDD505-2E9C-101B-9397-08002B2CF9AE}" pid="20" name="monofont">
    <vt:lpwstr>Arial</vt:lpwstr>
  </property>
  <property fmtid="{D5CDD505-2E9C-101B-9397-08002B2CF9AE}" pid="21" name="sansfont">
    <vt:lpwstr>Arial</vt:lpwstr>
  </property>
  <property fmtid="{D5CDD505-2E9C-101B-9397-08002B2CF9AE}" pid="22" name="toc-title">
    <vt:lpwstr>Оглавление</vt:lpwstr>
  </property>
  <property fmtid="{D5CDD505-2E9C-101B-9397-08002B2CF9AE}" pid="23" name="website">
    <vt:lpwstr/>
  </property>
</Properties>
</file>