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047FF"/>
          <w:sz w:val="16"/>
        </w:rPr>
        <w:t>ДПО-1 · учебный материал · кейс «Деталь Вал»</w:t>
      </w:r>
    </w:p>
    <w:p>
      <w:pPr>
        <w:spacing w:after="120"/>
      </w:pPr>
      <w:r>
        <w:rPr>
          <w:rFonts w:ascii="Arial" w:hAnsi="Arial"/>
          <w:b/>
          <w:color w:val="002060"/>
          <w:sz w:val="38"/>
        </w:rPr>
        <w:t>01. КАК РАБОТАТЬ С РЕАЛЬНЫМ ИСТОЧНИКОМ</w:t>
      </w:r>
    </w:p>
    <w:p>
      <w:pPr>
        <w:spacing w:after="200"/>
      </w:pPr>
      <w:r>
        <w:rPr>
          <w:rFonts w:ascii="Arial" w:hAnsi="Arial"/>
          <w:b/>
          <w:color w:val="0047FF"/>
          <w:sz w:val="21"/>
        </w:rPr>
        <w:t>Навигационная карточка к исходной странице INNER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6F4EA"/>
          </w:tcPr>
          <w:p>
            <w:r/>
            <w:r>
              <w:rPr>
                <w:rFonts w:ascii="Arial" w:hAnsi="Arial"/>
                <w:b/>
                <w:color w:val="002060"/>
                <w:sz w:val="20"/>
              </w:rPr>
              <w:t>РЕАЛЬНЫЙ ИСТОЧНИК</w:t>
              <w:br/>
            </w:r>
            <w:r>
              <w:rPr>
                <w:rFonts w:ascii="Arial" w:hAnsi="Arial"/>
                <w:color w:val="1B1F23"/>
                <w:sz w:val="19"/>
              </w:rPr>
              <w:t>Файл 00_Исходник_INNER_без_изменений.html используется на занятии без редактирования. Все значения, обозначенные в этом документе как «из источника», должны сверяться именно с ним.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02060"/>
          <w:sz w:val="28"/>
        </w:rPr>
        <w:t>Что в исходнике действительно пригодится на уроке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Различие маршрутной и операционной карты.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Служебные символы строк МК: А, Б, В, Г, К, М, О, Т, Р.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Состав граф маршрутной карты, включая Тпз и Тшт.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Реальный опубликованный пример маршрутной карты детали «Вал»: операции 005-035.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Реальный опубликованный пример операционной карты операции 010 «Токарная» с переходами, режимами и нормами времени.</w:t>
      </w:r>
    </w:p>
    <w:p>
      <w:pPr>
        <w:spacing w:before="160" w:after="100"/>
      </w:pPr>
      <w:r>
        <w:rPr>
          <w:rFonts w:ascii="Arial" w:hAnsi="Arial"/>
          <w:b/>
          <w:color w:val="002060"/>
          <w:sz w:val="28"/>
        </w:rPr>
        <w:t>Ключевая учебная неоднозначность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4E5"/>
          </w:tcPr>
          <w:p>
            <w:r/>
            <w:r>
              <w:rPr>
                <w:rFonts w:ascii="Arial" w:hAnsi="Arial"/>
                <w:b/>
                <w:color w:val="002060"/>
                <w:sz w:val="20"/>
              </w:rPr>
              <w:t>НЕ СКЛЕИВАТЬ АВТОМАТИЧЕСКИ</w:t>
              <w:br/>
            </w:r>
            <w:r>
              <w:rPr>
                <w:rFonts w:ascii="Arial" w:hAnsi="Arial"/>
                <w:color w:val="1B1F23"/>
                <w:sz w:val="19"/>
              </w:rPr>
              <w:t>В маршрутной карте для операции 010 указано Тшт = 8,5 мин, а в отдельном примере операционной карты операции 010 указано Тшт = 2,98 мин. Эти два фрагмента нельзя молча объединять в один расчёт. На уроке это используется как пример необходимости сверки контекста и источников.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02060"/>
          <w:sz w:val="28"/>
        </w:rPr>
        <w:t>Первое задание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Найдите в исходнике маршрутную карту детали «Вал».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Извлеките операции, оборудование, Тпз и Тшт без дополнений от себя.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Найдите операционную карту операции 010 и отдельно выпишите переходы, режимы и нормы времени.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Зафиксируйте все расхождения между двумя фрагментами.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Сформулируйте, какие данные можно использовать для планирования уверенно, а какие требуют решения технолога.</w:t>
      </w:r>
    </w:p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A8493"/>
        <w:sz w:val="14"/>
      </w:rPr>
      <w:t>ДПО-1 · учебный кейс · источник INNER + учебные условия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