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scenariy 90 minut</w:t>
      </w:r>
    </w:p>
    <w:p>
      <w:pPr>
        <w:pStyle w:val="Heading1"/>
      </w:pPr>
      <w:r>
        <w:t>Сценарий · 90 минут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Минуты</w:t>
            </w:r>
          </w:p>
        </w:tc>
        <w:tc>
          <w:tcPr>
            <w:tcW w:type="dxa" w:w="2880"/>
          </w:tcPr>
          <w:p>
            <w:r>
              <w:t>Содержание</w:t>
            </w:r>
          </w:p>
        </w:tc>
        <w:tc>
          <w:tcPr>
            <w:tcW w:type="dxa" w:w="2880"/>
          </w:tcPr>
          <w:p>
            <w:r>
              <w:t>Формат</w:t>
            </w:r>
          </w:p>
        </w:tc>
      </w:tr>
      <w:tr>
        <w:tc>
          <w:tcPr>
            <w:tcW w:type="dxa" w:w="2880"/>
          </w:tcPr>
          <w:p>
            <w:r>
              <w:t>0–5</w:t>
            </w:r>
          </w:p>
        </w:tc>
        <w:tc>
          <w:tcPr>
            <w:tcW w:type="dxa" w:w="2880"/>
          </w:tcPr>
          <w:p>
            <w:r>
              <w:t>Цель и маршрут</w:t>
            </w:r>
          </w:p>
        </w:tc>
        <w:tc>
          <w:tcPr>
            <w:tcW w:type="dxa" w:w="2880"/>
          </w:tcPr>
          <w:p>
            <w:r>
              <w:t>Титул, пять ситуаций</w:t>
            </w:r>
          </w:p>
        </w:tc>
      </w:tr>
      <w:tr>
        <w:tc>
          <w:tcPr>
            <w:tcW w:type="dxa" w:w="2880"/>
          </w:tcPr>
          <w:p>
            <w:r>
              <w:t>5–15</w:t>
            </w:r>
          </w:p>
        </w:tc>
        <w:tc>
          <w:tcPr>
            <w:tcW w:type="dxa" w:w="2880"/>
          </w:tcPr>
          <w:p>
            <w:r>
              <w:t>Четыре сервиса, настройка DeepSeek</w:t>
            </w:r>
          </w:p>
        </w:tc>
        <w:tc>
          <w:tcPr>
            <w:tcW w:type="dxa" w:w="2880"/>
          </w:tcPr>
          <w:p>
            <w:r>
              <w:t>Обзор и живой показ</w:t>
            </w:r>
          </w:p>
        </w:tc>
      </w:tr>
      <w:tr>
        <w:tc>
          <w:tcPr>
            <w:tcW w:type="dxa" w:w="2880"/>
          </w:tcPr>
          <w:p>
            <w:r>
              <w:t>15–35</w:t>
            </w:r>
          </w:p>
        </w:tc>
        <w:tc>
          <w:tcPr>
            <w:tcW w:type="dxa" w:w="2880"/>
          </w:tcPr>
          <w:p>
            <w:r>
              <w:t>Записка о принтере</w:t>
            </w:r>
          </w:p>
        </w:tc>
        <w:tc>
          <w:tcPr>
            <w:tcW w:type="dxa" w:w="2880"/>
          </w:tcPr>
          <w:p>
            <w:r>
              <w:t>Слабый/улучшенный запрос в Алисе AI, GigaChat, ChatGPT</w:t>
            </w:r>
          </w:p>
        </w:tc>
      </w:tr>
      <w:tr>
        <w:tc>
          <w:tcPr>
            <w:tcW w:type="dxa" w:w="2880"/>
          </w:tcPr>
          <w:p>
            <w:r>
              <w:t>35–45</w:t>
            </w:r>
          </w:p>
        </w:tc>
        <w:tc>
          <w:tcPr>
            <w:tcW w:type="dxa" w:w="2880"/>
          </w:tcPr>
          <w:p>
            <w:r>
              <w:t>Резюме отчёта</w:t>
            </w:r>
          </w:p>
        </w:tc>
        <w:tc>
          <w:tcPr>
            <w:tcW w:type="dxa" w:w="2880"/>
          </w:tcPr>
          <w:p>
            <w:r>
              <w:t>Один сервис, пять выводов</w:t>
            </w:r>
          </w:p>
        </w:tc>
      </w:tr>
      <w:tr>
        <w:tc>
          <w:tcPr>
            <w:tcW w:type="dxa" w:w="2880"/>
          </w:tcPr>
          <w:p>
            <w:r>
              <w:t>45–60</w:t>
            </w:r>
          </w:p>
        </w:tc>
        <w:tc>
          <w:tcPr>
            <w:tcW w:type="dxa" w:w="2880"/>
          </w:tcPr>
          <w:p>
            <w:r>
              <w:t>Порядок заявок</w:t>
            </w:r>
          </w:p>
        </w:tc>
        <w:tc>
          <w:tcPr>
            <w:tcW w:type="dxa" w:w="2880"/>
          </w:tcPr>
          <w:p>
            <w:r>
              <w:t>Три формата в одном сервисе; один формат ещё в двух</w:t>
            </w:r>
          </w:p>
        </w:tc>
      </w:tr>
      <w:tr>
        <w:tc>
          <w:tcPr>
            <w:tcW w:type="dxa" w:w="2880"/>
          </w:tcPr>
          <w:p>
            <w:r>
              <w:t>60–73</w:t>
            </w:r>
          </w:p>
        </w:tc>
        <w:tc>
          <w:tcPr>
            <w:tcW w:type="dxa" w:w="2880"/>
          </w:tcPr>
          <w:p>
            <w:r>
              <w:t>Две редакции</w:t>
            </w:r>
          </w:p>
        </w:tc>
        <w:tc>
          <w:tcPr>
            <w:tcW w:type="dxa" w:w="2880"/>
          </w:tcPr>
          <w:p>
            <w:r>
              <w:t>Таблица → записка</w:t>
            </w:r>
          </w:p>
        </w:tc>
      </w:tr>
      <w:tr>
        <w:tc>
          <w:tcPr>
            <w:tcW w:type="dxa" w:w="2880"/>
          </w:tcPr>
          <w:p>
            <w:r>
              <w:t>73–85</w:t>
            </w:r>
          </w:p>
        </w:tc>
        <w:tc>
          <w:tcPr>
            <w:tcW w:type="dxa" w:w="2880"/>
          </w:tcPr>
          <w:p>
            <w:r>
              <w:t>План по неделям</w:t>
            </w:r>
          </w:p>
        </w:tc>
        <w:tc>
          <w:tcPr>
            <w:tcW w:type="dxa" w:w="2880"/>
          </w:tcPr>
          <w:p>
            <w:r>
              <w:t>Таблица → чек-лист</w:t>
            </w:r>
          </w:p>
        </w:tc>
      </w:tr>
      <w:tr>
        <w:tc>
          <w:tcPr>
            <w:tcW w:type="dxa" w:w="2880"/>
          </w:tcPr>
          <w:p>
            <w:r>
              <w:t>85–90</w:t>
            </w:r>
          </w:p>
        </w:tc>
        <w:tc>
          <w:tcPr>
            <w:tcW w:type="dxa" w:w="2880"/>
          </w:tcPr>
          <w:p>
            <w:r>
              <w:t>Банк 20 шаблонов</w:t>
            </w:r>
          </w:p>
        </w:tc>
        <w:tc>
          <w:tcPr>
            <w:tcW w:type="dxa" w:w="2880"/>
          </w:tcPr>
          <w:p>
            <w:r>
              <w:t>Подстановка и самостоятельная работа</w:t>
            </w:r>
          </w:p>
        </w:tc>
      </w:tr>
    </w:tbl>
    <w:p>
      <w:r>
        <w:t>Две части по 45 минут. Файлы открыты заранее; исходники не читаются вслух целиком. Для сравнений сначала отправляйте запрос в сервисы, затем разбирайте ответы. При задержке продолжайте по доступным ответам, отмечая отсутствие результата. Ключи и резервные авторские примеры — в Конспекте.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