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УЧЕБНЫЙ МАТЕРИАЛ · СИНТЕТИЧЕСКИЕ ДАННЫЕ · не относятся к реальному предприятию</w:t>
      </w:r>
    </w:p>
    <w:p>
      <w:pPr>
        <w:pStyle w:val="Title"/>
      </w:pPr>
      <w:r>
        <w:t>Konspekt</w:t>
      </w:r>
    </w:p>
    <w:p>
      <w:pPr>
        <w:pStyle w:val="Heading1"/>
      </w:pPr>
      <w:r>
        <w:t>Конспект · практикумы 5–6 · 90 минут</w:t>
      </w:r>
    </w:p>
    <w:p>
      <w:pPr>
        <w:pStyle w:val="Heading2"/>
      </w:pPr>
      <w:r>
        <w:t>Подготовка перед занятием</w:t>
      </w:r>
    </w:p>
    <w:p>
      <w:r>
        <w:t>Откройте страницу практикума, DeepSeek, Алису AI, GigaChat и ChatGPT. DeepSeek используем для показа первичной настройки. Слабый и улучшенный запрос о сравнении оборудования проверяем в Алисе AI, GigaChat и ChatGPT. При необходимости DeepSeek заменяет недоступный сервис; замену фиксируем. Для кейса о заявках получаем три формата в одном сервисе, затем сравниваем один из форматов в двух остальных. Остальные кейсы показываем в одном доступном сервисе, чтобы уложиться в 90 минут.</w:t>
      </w:r>
    </w:p>
    <w:p>
      <w:r>
        <w:t>Скачайте архив. В папке cases восемь исходников в DOCX и TXT: equipment — сравнение оборудования; technical_spec — проверка ТЗ; fact_check — проверка справки; work_notes — заметки в план; report — отчёт; requests — заявки; versions — редакции; weeks — недельный план. Все данные придуманы. В копируемом запросе нет отдельной длинной декларации об учебных данных; это пояснение находится на странице. Исходник уже включён в полный запрос, прикреплять его повторно не требуется. При демонстрации вложения проверьте, что сервис прочитал документ; иначе вставьте TXT.</w:t>
      </w:r>
    </w:p>
    <w:p>
      <w:r>
        <w:t>Перед показом войдите в сервисы, скройте личную историю и подготовьте чистые чаты. Для сравнения записывайте видимое название режима или модели. Сначала отправляйте одинаковый запрос в три сервиса подряд, затем разбирайте результаты. Если сервис не отвечает, пометьте это в листе наблюдений; не называйте резервный авторский пример его ответом.</w:t>
      </w:r>
    </w:p>
    <w:p>
      <w:pPr>
        <w:pStyle w:val="Heading2"/>
      </w:pPr>
      <w:r>
        <w:t>0–5 минут. Цель и маршрут</w:t>
      </w:r>
    </w:p>
    <w:p>
      <w:r>
        <w:t>Пояснение: «Сегодня сравним оборудование, уточняя запрос. Также доступны проверка ТЗ, проверка фактов и превращение заметок в план. Затем меняем форму результата под адресата на других материалах. Сервис может написать убедительно, но мы проверяем конкретные условия».</w:t>
      </w:r>
    </w:p>
    <w:p>
      <w:r>
        <w:t>Покажите титульный слайд и таблицу времени. Спросите, какая из четырёх новых задач чаще встречается слушателям. При молчании: «Начнём со сравнения трёх моделей: низкая цена ещё не означает соответствие требованиям». На основной разбор отведено 20 минут. Другой новый кейс можно взять вместо сравнения, но не добавлять все три сверху. Подробные исходники остаются для самостоятельной работы.</w:t>
      </w:r>
    </w:p>
    <w:p>
      <w:pPr>
        <w:pStyle w:val="Heading2"/>
      </w:pPr>
      <w:r>
        <w:t>5–15 минут. Обзор и настройка DeepSeek</w:t>
      </w:r>
    </w:p>
    <w:p>
      <w:r>
        <w:t>5–7: покажите четыре карточки сервисов и официальные ссылки. Объясните общие части: новый чат, история, поле запроса, доступные режимы, профиль. Не обещайте одинаковые функции во всех аккаунтах.</w:t>
      </w:r>
    </w:p>
    <w:p>
      <w:r>
        <w:t>7–10: откройте DeepSeek. Найдите новый чат, историю, поле ввода. Нажмите элементы учебной схемы на странице и сопоставьте с живым экраном. Покажите загрузку одного синтетического файла, только если она доступна; иначе используйте TXT. Проверьте по ответу, что модель видит именно документ, а не только его имя.</w:t>
      </w:r>
    </w:p>
    <w:p>
      <w:r>
        <w:t>В блоке интерфейса четыре переключателя: DeepSeek, Алиса AI, GigaChat и ChatGPT. Это учебная карта функций, не точная копия окон. Официальный адрес чата Алисы: https://alice.yandex.ru/. Нажатие на элемент подсвечивает его и выводит пояснение под схемой. Кнопка «Начать показ» перебирает шесть элементов с интервалом 8 секунд; есть пауза, следующий элемент и сброс. При системном ограничении анимации — только пошаговый показ. Настоящие настройки аккаунта эта схема не меняет.</w:t>
      </w:r>
    </w:p>
    <w:p>
      <w:r>
        <w:t>Под каждым сервисом раскройте отдельно «Персонализация» и «Конфиденциальность». Сначала объясните стиль ответов, затем память и обращение с данными. На экране не удаляйте личную историю: достаточно показать доступный путь. Источники справок размещены внутри блоков. Подробный тайминг первого кейса свёрнут под «Сценарий ведущего · этапы и минуты». Для проектора вверху доступен режим увеличенного текста.</w:t>
      </w:r>
    </w:p>
    <w:p>
      <w:r>
        <w:t>10–13: покажите доступный режим ответа, поиск, профиль и настройки отображения/данных. Для работы по исходнику поиск отключаем. Конкретные названия режимов и пунктов меню берём с текущего экрана. В официальной политике описаны управление историей и право отказаться от использования данных для обучения, но не предполагаем наличие конкретного переключателя без проверки аккаунта.</w:t>
      </w:r>
    </w:p>
    <w:p>
      <w:r>
        <w:t>13–15: вставьте вводную инструкцию со страницы и покажите запрос: «Подтверди правила ответа в трёх коротких пунктах». Пояснение: «Это настройка поведения в текущем диалоге. Она не равна постоянной памяти и не определяет правила хранения данных сервиса». Для сравнений используйте одинаковую вводную инструкцию во всех сервисах либо не используйте её ни в одном. Готовые промпты уже включают ограничения.</w:t>
      </w:r>
    </w:p>
    <w:p>
      <w:r>
        <w:t>Официальный источник: [политика DeepSeek](https://cdn.deepseek.com/policies/en-US/deepseek-privacy-policy.html). Проверено 30.09.2026. Правило занятия: только синтетические исходники, независимо от настроек.</w:t>
      </w:r>
    </w:p>
    <w:p>
      <w:pPr>
        <w:pStyle w:val="Heading2"/>
      </w:pPr>
      <w:r>
        <w:t>После настройки рабочего места. Синтаксис промпта</w:t>
      </w:r>
    </w:p>
    <w:p>
      <w:r>
        <w:t>Покажите слайд «Синтаксис промпта: как отделить задачу от данных». Это короткое объяснение перед первым практическим запросом, а не отдельная лекция. Пояснение: «Мы не ищем магические символы. Заголовки, списки и границы исходного материала просто помогают увидеть логику запроса: действие, условия, нужный формат и сам текст для разбора».</w:t>
      </w:r>
    </w:p>
    <w:p>
      <w:r>
        <w:t>Пройдите по слайду слева направо. # Задача — что должна сделать модель; # Условия — чего не следует придумывать; # Формат результата — как оформить ответ; # Исходные данные — с каким материалом работать. Покажите, что маркированный список подходит для независимых ограничений, а нумерованный — для действий, которые идут по порядку. Теги &lt;notes&gt;...&lt;/notes&gt; не защищают информацию и не дают приоритета инструкции: они лишь показывают границы длинного фрагмента.</w:t>
      </w:r>
    </w:p>
    <w:p>
      <w:r>
        <w:t>Откройте мини-проверку на странице. Сначала спросите: «Фраза “Не назначай ответственных” — это правило или исходник?» При молчании ответьте сами: это правило выполнения. Затем откройте карточку «В заметках упомянута пятница»: это факт материала, но не утверждённый срок. Важный вывод: текст внутри блока исходных данных не отменяет условий запроса; если там встречается фраза, похожая на команду, рассматриваем её как цитату или отмечаем риск.</w:t>
      </w:r>
    </w:p>
    <w:p>
      <w:r>
        <w:t>Скопируйте шаблон и вставьте его перед первым кейсом. Не задерживайтесь на синтаксисе: дальше участники применяют ту же логику в конструкторе пяти элементов. Разметка не проверяет достоверность, не создаёт полномочий и не разрешает передавать неучебные данные во внешний сервис.</w:t>
      </w:r>
    </w:p>
    <w:p>
      <w:r>
        <w:t>Официальная справка: [OpenAI · prompt engineering](https://developers.openai.com/api/docs/guides/prompt-engineering).</w:t>
      </w:r>
    </w:p>
    <w:p>
      <w:pPr>
        <w:pStyle w:val="Heading2"/>
      </w:pPr>
      <w:r>
        <w:t>15–19 минут. Оборудование: изучаем исходник</w:t>
      </w:r>
    </w:p>
    <w:p>
      <w:r>
        <w:t>Откройте equipment.docx. Покажите обязательные условия: не менее 40 страниц в минуту в одинаковом режиме, поставка до 25 календарных дней, гарантия от 24 месяцев. Затем три предложения и отдельную стоимость доставки. Веса критериев и бюджет не заданы.</w:t>
      </w:r>
    </w:p>
    <w:p>
      <w:r>
        <w:t>Пояснение: «Сначала проверяем допуск по обязательным условиям, потом сравниваем допустимые варианты. Ватты — мощность; киловатт-часы — энергия за время. Эти величины нельзя подменять».</w:t>
      </w:r>
    </w:p>
    <w:p>
      <w:r>
        <w:t>Спросите, можно ли выбрать самый дешёвый вариант сразу. При молчании покажите срок и гарантию предложения В. Слова о возможном улучшении условий не означают согласованные условия.</w:t>
      </w:r>
    </w:p>
    <w:p>
      <w:pPr>
        <w:pStyle w:val="Heading2"/>
      </w:pPr>
      <w:r>
        <w:t>19–23 минуты. Слабый запрос</w:t>
      </w:r>
    </w:p>
    <w:p>
      <w:r>
        <w:t>Скопируйте блок «Сравни три модели и выбери лучшую» вместе с исходником в три новых чата. Сначала отправьте запросы, затем разбирайте ответы. Проверьте доставку, допуск и основание выбора. Если ответ аккуратен, отметьте это: слабый запрос не обязан приводить к ошибке.</w:t>
      </w:r>
    </w:p>
    <w:p>
      <w:r>
        <w:t>Резервный авторский пример ошибки: «Выбираем В: 165 000 рублей и самая низкая мощность». Это не ответ реальной модели, а пример для разбора. Не учтена доставка; не соблюдены обязательные срок и гарантия; мощность не равна полной стоимости владения.</w:t>
      </w:r>
    </w:p>
    <w:p>
      <w:pPr>
        <w:pStyle w:val="Heading2"/>
      </w:pPr>
      <w:r>
        <w:t>23–27 минут. Пять элементов</w:t>
      </w:r>
    </w:p>
    <w:p>
      <w:r>
        <w:t>Покажите конструктор. Цель — сравнить три предложения; контекст — обязательные условия и предложения; роль — аналитик; ограничения — без выдуманных весов, бюджета и договорённостей; результат — таблица пяти критериев, полная цена, допуск, условные рекомендации и вопросы.</w:t>
      </w:r>
    </w:p>
    <w:p>
      <w:r>
        <w:t>Нажмите «Собрать». Исходник добавляется автоматически, но готового ключа в запросе нет. Спросите, какое ограничение добавить первым. При молчании: «Не выбирать победителя по придуманным весам». Роль не заменяет факты и не предоставляет полномочий.</w:t>
      </w:r>
    </w:p>
    <w:p>
      <w:pPr>
        <w:pStyle w:val="Heading2"/>
      </w:pPr>
      <w:r>
        <w:t>27–35 минут. Улучшенный запрос и сравнение</w:t>
      </w:r>
    </w:p>
    <w:p>
      <w:r>
        <w:t>Отправьте полный запрос в три новых чата. Сравните две версии внутри каждого сервиса. В листе наблюдений запишите одну точную цитату или «нарушений не обнаружено». Галочки на странице — ручная оценка, страница не анализирует ответы сервисов.</w:t>
      </w:r>
    </w:p>
    <w:p>
      <w:r>
        <w:t>Ключ для сверки: полная начальная цена А — 192 000 руб., Б — 210 000 руб., В — 180 000 руб. А и Б соответствуют обязательным условиям, В — нет. При 1000 часах активной работы энергия составляет 80/120/65 кВт·ч, стоимость — 640/960/520 руб. Ожидание не включено. А дешевле среди допустимых, Б быстрее поставляется, производительнее и имеет более длинную гарантию. Единственного победителя без приоритетов нет. Это вычисления по источнику, а не сохранённые ответы сервисов.</w:t>
      </w:r>
    </w:p>
    <w:p>
      <w:r>
        <w:t>Уточняющий запрос: «Пересчитай полную цену с доставкой. Сначала проверь обязательные условия. Раздели мощность и энергию. Убери веса критериев, которых нет в исходнике». К 35-й минуте завершите сравнение; по единичному примеру не выбирайте «лучшую модель».</w:t>
      </w:r>
    </w:p>
    <w:p>
      <w:pPr>
        <w:pStyle w:val="Heading2"/>
      </w:pPr>
      <w:r>
        <w:t>Альтернативы основному разбору и самостоятельная работа</w:t>
      </w:r>
    </w:p>
    <w:p>
      <w:r>
        <w:t>Каждый кейс ниже заменяет блок 15–35, а не удлиняет занятие. Схема одинакова: 4 минуты источник, 4 минуты общий запрос, 4 минуты уточнение пяти элементов, 8 минут повторный запуск и сверка. На странице есть полный исходник, два готовых запроса и закрываемая сверка. Открывайте её только после ответа.</w:t>
      </w:r>
    </w:p>
    <w:p>
      <w:pPr>
        <w:pStyle w:val="Heading3"/>
      </w:pPr>
      <w:r>
        <w:t>Проверить техническое задание</w:t>
      </w:r>
    </w:p>
    <w:p>
      <w:r>
        <w:t>Откройте technical_spec.docx. Спросите, можно ли выполнить одновременно Т1 и Т7. При молчании выпишите границы: не менее 50 и не более 40 страниц/мин в одном режиме. Они несовместимы. Т2/Т8 аналогично задают минимум 80 и максимум 60 листов. Т4/Т10 повторяют журналирование. Т3 оценочен, Т6 не называет ОС, Т11 не устанавливает срок и гарантию, Т12 не задаёт приёмку. Интерфейс и форматы результата не описаны. Номинальная и пиковая мощность Т5/Т9 — не доказанное противоречие: нужны режимы измерения. Требуйте вопросы заказчику, а не новые придуманные числовые требования. Уточнение: «Для каждого замечания приведи пункт, цитату, тип проблемы и вопрос. Отдели противоречие от неоднозначности».</w:t>
      </w:r>
    </w:p>
    <w:p>
      <w:pPr>
        <w:pStyle w:val="Heading3"/>
      </w:pPr>
      <w:r>
        <w:t>Проверить аналитическую справку на факты</w:t>
      </w:r>
    </w:p>
    <w:p>
      <w:r>
        <w:t>Откройте fact_check.docx. Покажите утверждение А1 и первичный источник И1. Рост 80→100 составляет 25%, а не 20%; вовремя выполнено 90%, а не 95%. Рекорд за три года не подтверждается месячными данными. Снижение 5→3 дней — 40%, но причинная связь с изменением процесса не доказана. Семь положительных ответов из десяти — 70% ответивших, не всех работников. Дата из проекта не становится обязательной датой приказа. Экономия и окупаемость не подтверждены расчётом. Ссылка .invalid намеренно учебная и не подтверждает источник. Не называйте все непроверенные утверждения ложными. При молчании спросите: «Неверная арифметика и отсутствие документа — одинаковые статусы?» Ответ: нет. Уточнение: «Сделай реестр всех чисел, дат, ссылок и утверждений со статусом и основанием; укажи, что требуется для проверки».</w:t>
      </w:r>
    </w:p>
    <w:p>
      <w:pPr>
        <w:pStyle w:val="Heading3"/>
      </w:pPr>
      <w:r>
        <w:t>Рабочие заметки в план действий</w:t>
      </w:r>
    </w:p>
    <w:p>
      <w:r>
        <w:t>Откройте work_notes.docx. Попросите отличить подтверждённое действие от предложения. Координатор собирает файлы и список, методист проверяет после их получения, координатор сводит правки, руководитель решает спорные изменения. Отсутствующий на обсуждении специалист не стал исполнителем. Среда — пожелание; пятница — обсуждаемая проверка готовности, а не запуск. Тираж 30 экземпляров не означает согласованную печать и закупку. Даты, бюджет, адресаты и владелец исправления ссылки требуют уточнения. При молчании покажите запись про отсутствующего специалиста. Уточнение: «Оставь неподтверждённого ответственного как “уточнить”; отдели предложения от поручений; укажи зависимость и источник каждого действия».</w:t>
      </w:r>
    </w:p>
    <w:p>
      <w:pPr>
        <w:pStyle w:val="Heading2"/>
      </w:pPr>
      <w:r>
        <w:t>35–45 минут. Краткое резюме отчёта</w:t>
      </w:r>
    </w:p>
    <w:p>
      <w:r>
        <w:t>Откройте report.docx, покажите объём и разделы Р2–Р6. Запустите структурированный запрос в одном сервисе. На экране сравните общую просьбу «Сократи отчёт» с требованием пяти выводов и оснований. Если времени хватает, выполните оба запроса; иначе изучите слабую формулировку без отдельного запуска.</w:t>
      </w:r>
    </w:p>
    <w:p>
      <w:r>
        <w:t>Проверка: остаток 12 + 48 − 45 = 15; категории завершённых работ 18 + 15 + 12 = 45; соблюдение срока — 34 из 40, 85%. Нельзя считать 45/48 долей выполненных новых обращений. Для трёх задержек причина не указана. Семь возвратов — не семь ошибок сотрудника: четыре связаны с изменением запроса.</w:t>
      </w:r>
    </w:p>
    <w:p>
      <w:r>
        <w:t>Пояснение: «Сокращение должно сохранять смысл числа и его основание». Спросите, что руководитель должен решить. При молчании: рассмотреть пробу нового бланка запроса; не назначать исполнителя и дату по догадке. Результат этого кейса — пять фактических тезисов.</w:t>
      </w:r>
    </w:p>
    <w:p>
      <w:pPr>
        <w:pStyle w:val="Heading2"/>
      </w:pPr>
      <w:r>
        <w:t>45–60 минут. Новый порядок — три адресата</w:t>
      </w:r>
    </w:p>
    <w:p>
      <w:r>
        <w:t>45–48: откройте requests.docx. Выделите З2, З4 и З5: текущие заявки не переподаются; два дня — первичная проверка, не ремонт; опасная ситуация имеет отдельную ветвь. Для реальной рассылки не хватает даты, ссылки и контакта.</w:t>
      </w:r>
    </w:p>
    <w:p>
      <w:r>
        <w:t>48–55: последовательно запустите три полных промпта в новых чатах одного выбранного сервиса. Получите объяснение новичку, записку руководителю и чек-лист исполнителю. Один формат, например чек-лист, отправьте в два остальных сервиса. Сначала отправка, затем разбор.</w:t>
      </w:r>
    </w:p>
    <w:p>
      <w:r>
        <w:t>Ориентир новичку: объяснить новую форму и обязательные поля без жаргона. Руководителю: кратко указать изменение процесса и открытые вопросы. Исполнителю: действия при новой заявке, ветвь текущей заявки, фиксация идентификатора, исключение опасной ситуации.</w:t>
      </w:r>
    </w:p>
    <w:p>
      <w:r>
        <w:t>55–60: выполните интерактив. Нажатие без ответа даёт подсказку. «Записка руководителю» — неверно для списка отмечаемых действий, «чек-лист исполнителю» — верно. Прочитайте пояснение. При молчании аудитории сами выберите сначала неподходящий ответ и объясните разницу. Проверьте, не пропала ли опасная ветвь при сокращении текста.</w:t>
      </w:r>
    </w:p>
    <w:p>
      <w:pPr>
        <w:pStyle w:val="Heading2"/>
      </w:pPr>
      <w:r>
        <w:t>60–73 минуты. Две редакции</w:t>
      </w:r>
    </w:p>
    <w:p>
      <w:r>
        <w:t>Откройте versions.docx. В начале явно указано: А действует в учебном сценарии, Б — проект. Запрос требует таблицу, цитаты и вопросы. После получения таблицы попросите: «На основе той же таблицы подготовь записку руководителю до 90 слов, сохрани статус Б как проекта; новых сведений не добавляй».</w:t>
      </w:r>
    </w:p>
    <w:p>
      <w:r>
        <w:t>Проверка: Б1 добавляет адресата и формат; Б2 — два рабочих дня первичной проверки и условие начала подготовки; Б5 меняет канал замечаний и отдельно согласуемый срок; Б6 добавляет предыдущую редакцию. А3/Б3 и А4/Б4 неизменны. Срок хранения и дата введения Б отсутствуют.</w:t>
      </w:r>
    </w:p>
    <w:p>
      <w:r>
        <w:t>Пояснение: «Таблица позволяет сравнить детали, записка — быстро увидеть смысл изменений. Уменьшение объёма не превращает проект в действующий документ». Спросите, какая ошибка существеннее: длинная записка или неверный статус редакции. При молчании покажите подпись «проект» в исходнике.</w:t>
      </w:r>
    </w:p>
    <w:p>
      <w:pPr>
        <w:pStyle w:val="Heading2"/>
      </w:pPr>
      <w:r>
        <w:t>73–85 минут. План по неделям</w:t>
      </w:r>
    </w:p>
    <w:p>
      <w:r>
        <w:t>Откройте weeks.docx. Покажите восемь задач, 16 баллов нагрузки и ёмкость 5/4/5/4. Единица — условный балл, не час. Запустите запрос на таблицу, затем: «Преобразуй полученный план в чек-лист по неделям. Сохрани распределение и порядок внутри недели».</w:t>
      </w:r>
    </w:p>
    <w:p>
      <w:r>
        <w:t>Выполнимый авторский вариант для сверки после ответа модели:</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Неделя</w:t>
            </w:r>
          </w:p>
        </w:tc>
        <w:tc>
          <w:tcPr>
            <w:tcW w:type="dxa" w:w="2160"/>
          </w:tcPr>
          <w:p>
            <w:r>
              <w:t>Порядок задач</w:t>
            </w:r>
          </w:p>
        </w:tc>
        <w:tc>
          <w:tcPr>
            <w:tcW w:type="dxa" w:w="2160"/>
          </w:tcPr>
          <w:p>
            <w:r>
              <w:t>Нагрузка</w:t>
            </w:r>
          </w:p>
        </w:tc>
        <w:tc>
          <w:tcPr>
            <w:tcW w:type="dxa" w:w="2160"/>
          </w:tcPr>
          <w:p>
            <w:r>
              <w:t>Лимит</w:t>
            </w:r>
          </w:p>
        </w:tc>
      </w:tr>
      <w:tr>
        <w:tc>
          <w:tcPr>
            <w:tcW w:type="dxa" w:w="2160"/>
          </w:tcPr>
          <w:p>
            <w:r>
              <w:t>1</w:t>
            </w:r>
          </w:p>
        </w:tc>
        <w:tc>
          <w:tcPr>
            <w:tcW w:type="dxa" w:w="2160"/>
          </w:tcPr>
          <w:p>
            <w:r>
              <w:t>А → Б → В</w:t>
            </w:r>
          </w:p>
        </w:tc>
        <w:tc>
          <w:tcPr>
            <w:tcW w:type="dxa" w:w="2160"/>
          </w:tcPr>
          <w:p>
            <w:r>
              <w:t>5</w:t>
            </w:r>
          </w:p>
        </w:tc>
        <w:tc>
          <w:tcPr>
            <w:tcW w:type="dxa" w:w="2160"/>
          </w:tcPr>
          <w:p>
            <w:r>
              <w:t>5</w:t>
            </w:r>
          </w:p>
        </w:tc>
      </w:tr>
      <w:tr>
        <w:tc>
          <w:tcPr>
            <w:tcW w:type="dxa" w:w="2160"/>
          </w:tcPr>
          <w:p>
            <w:r>
              <w:t>2</w:t>
            </w:r>
          </w:p>
        </w:tc>
        <w:tc>
          <w:tcPr>
            <w:tcW w:type="dxa" w:w="2160"/>
          </w:tcPr>
          <w:p>
            <w:r>
              <w:t>Г; Д</w:t>
            </w:r>
          </w:p>
        </w:tc>
        <w:tc>
          <w:tcPr>
            <w:tcW w:type="dxa" w:w="2160"/>
          </w:tcPr>
          <w:p>
            <w:r>
              <w:t>4</w:t>
            </w:r>
          </w:p>
        </w:tc>
        <w:tc>
          <w:tcPr>
            <w:tcW w:type="dxa" w:w="2160"/>
          </w:tcPr>
          <w:p>
            <w:r>
              <w:t>4</w:t>
            </w:r>
          </w:p>
        </w:tc>
      </w:tr>
      <w:tr>
        <w:tc>
          <w:tcPr>
            <w:tcW w:type="dxa" w:w="2160"/>
          </w:tcPr>
          <w:p>
            <w:r>
              <w:t>3</w:t>
            </w:r>
          </w:p>
        </w:tc>
        <w:tc>
          <w:tcPr>
            <w:tcW w:type="dxa" w:w="2160"/>
          </w:tcPr>
          <w:p>
            <w:r>
              <w:t>Е → Ж</w:t>
            </w:r>
          </w:p>
        </w:tc>
        <w:tc>
          <w:tcPr>
            <w:tcW w:type="dxa" w:w="2160"/>
          </w:tcPr>
          <w:p>
            <w:r>
              <w:t>5</w:t>
            </w:r>
          </w:p>
        </w:tc>
        <w:tc>
          <w:tcPr>
            <w:tcW w:type="dxa" w:w="2160"/>
          </w:tcPr>
          <w:p>
            <w:r>
              <w:t>5</w:t>
            </w:r>
          </w:p>
        </w:tc>
      </w:tr>
      <w:tr>
        <w:tc>
          <w:tcPr>
            <w:tcW w:type="dxa" w:w="2160"/>
          </w:tcPr>
          <w:p>
            <w:r>
              <w:t>4</w:t>
            </w:r>
          </w:p>
        </w:tc>
        <w:tc>
          <w:tcPr>
            <w:tcW w:type="dxa" w:w="2160"/>
          </w:tcPr>
          <w:p>
            <w:r>
              <w:t>З</w:t>
            </w:r>
          </w:p>
        </w:tc>
        <w:tc>
          <w:tcPr>
            <w:tcW w:type="dxa" w:w="2160"/>
          </w:tcPr>
          <w:p>
            <w:r>
              <w:t>2</w:t>
            </w:r>
          </w:p>
        </w:tc>
        <w:tc>
          <w:tcPr>
            <w:tcW w:type="dxa" w:w="2160"/>
          </w:tcPr>
          <w:p>
            <w:r>
              <w:t>4</w:t>
            </w:r>
          </w:p>
        </w:tc>
      </w:tr>
    </w:tbl>
    <w:p>
      <w:r>
        <w:t>Проверьте восемь задач ровно по одному разу, нагрузки, строгие переходы В→Г, Г→Е, Ж→З на более позднюю неделю. Для А→Б→В и Е→Ж допускается порядок внутри одной недели. Зависимости важнее внешне красивой таблицы. Не заставляйте модель воспроизвести именно этот вариант, если другой удовлетворяет всем ограничениям.</w:t>
      </w:r>
    </w:p>
    <w:p>
      <w:r>
        <w:t>Если зал молчит, спросите: «Можно ли поставить З на неделю 3 вместе с Ж?» Ответ: нет, требуется более поздняя неделя. Если модель считает план невозможным, попросите показать конкретный конфликт, затем предъявите авторский вариант как контрпример.</w:t>
      </w:r>
    </w:p>
    <w:p>
      <w:pPr>
        <w:pStyle w:val="Heading2"/>
      </w:pPr>
      <w:r>
        <w:t>85–90 минут. Банк шаблонов и самостоятельная работа</w:t>
      </w:r>
    </w:p>
    <w:p>
      <w:r>
        <w:t>Покажите поиск и настройку полей «Адресат», «Объём», «Задача». Нажмите подстановку; откройте одну карточку, скопируйте запрос. Вставить исходный текст нужно отдельно в указанное поле. На странице редактируются версии в браузере; скачиваемые файлы содержат исходные универсальные шаблоны.</w:t>
      </w:r>
    </w:p>
    <w:p>
      <w:r>
        <w:t>Домашняя работа: выбрать два кейса или два шаблона, сохранить слабый и улучшенный ответы, сформулировать одно наблюдение. Для одного источника получить три формы. Работу не отправлять преподавателю. В пакете есть подробные исходники, полные запросы и листы наблюдений. Сложные виды документов в банке — материал для дальнейшего закрепления, не обещание полного освоения всех процессов за 90 минут.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