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rial" w:cs="Arial" w:eastAsia="Arial" w:hAnsi="Arial"/>
          <w:b/>
          <w:bCs/>
          <w:color w:val="1E3A5F"/>
          <w:spacing w:val="80"/>
          <w:sz w:val="44"/>
          <w:szCs w:val="44"/>
        </w:rPr>
        <w:t xml:space="preserve">PROJECT AEGIS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Backend Schema Reference</w:t>
      </w:r>
    </w:p>
    <w:p>
      <w:pPr>
        <w:spacing w:after="40" w:before="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Prescriptive KPI &amp; Performance Dashboard</w:t>
      </w:r>
    </w:p>
    <w:p>
      <w:pPr>
        <w:spacing w:after="400" w:before="0"/>
      </w:pPr>
      <w:r>
        <w:rPr>
          <w:rFonts w:ascii="Arial" w:cs="Arial" w:eastAsia="Arial" w:hAnsi="Arial"/>
          <w:color w:val="94A3B8"/>
          <w:sz w:val="19"/>
          <w:szCs w:val="19"/>
        </w:rPr>
        <w:t xml:space="preserve">v1.0  |  May 2026  |  For appending to TRD v1.0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225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25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5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Relates to</w:t>
            </w:r>
          </w:p>
        </w:tc>
      </w:tr>
      <w:tr>
        <w:tc>
          <w:tcPr>
            <w:tcW w:type="dxa" w:w="225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Backend Schema Reference</w:t>
            </w:r>
          </w:p>
        </w:tc>
        <w:tc>
          <w:tcPr>
            <w:tcW w:type="dxa" w:w="225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225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Final</w:t>
            </w:r>
          </w:p>
        </w:tc>
        <w:tc>
          <w:tcPr>
            <w:tcW w:type="dxa" w:w="225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TRD v1.0 — Appendix addition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This document provides a complete data dictionary and schema reference for the SQLite database backing Project Aegis v1.0, plus a forward reference to the v2.0 enterprise architecture.</w:t>
      </w:r>
    </w:p>
    <w:p>
      <w:pPr>
        <w:pageBreakBefore/>
      </w:pP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A. Database Overview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19"/>
          <w:szCs w:val="19"/>
        </w:rPr>
        <w:t xml:space="preserve">Project Aegis v1.0 uses SQLite as its embedded data store. The database file (kpi_dashboard.db) is generated at runtime by build_database.py and contains two tables: kpi_weekly and operational_notes. On Streamlit Cloud deployments, the database is auto-initialised on first cold start via a guard in app.py.</w:t>
      </w:r>
    </w:p>
    <w:p>
      <w:pPr>
        <w:spacing w:after="8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Rows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kpi_weekly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One row per operational week (2025-W01 to 2025-W16). Primary fact table.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operational_notes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One row per week with a free-text team log entry. Left-joined to kpi_weekly in all queries.</w:t>
            </w:r>
          </w:p>
        </w:tc>
      </w:tr>
    </w:tbl>
    <w:p>
      <w:pPr>
        <w:pBdr>
          <w:bottom w:val="single" w:color="E2E8F0" w:sz="4" w:space="1"/>
        </w:pBdr>
        <w:spacing w:after="100" w:before="100"/>
      </w:pP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B. Table: kpi_weekly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19"/>
          <w:szCs w:val="19"/>
        </w:rPr>
        <w:t xml:space="preserve">Primary fact table. One row per week. week_number is the primary key and join key for operational_notes.</w:t>
      </w:r>
    </w:p>
    <w:p>
      <w:pPr>
        <w:spacing w:after="8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700"/>
        <w:gridCol w:w="900"/>
        <w:gridCol w:w="4126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SLA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4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week_number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1–16</w:t>
            </w:r>
          </w:p>
        </w:tc>
        <w:tc>
          <w:tcPr>
            <w:tcW w:type="dxa" w:w="4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Primary key. Sequential integer identifier for each reporting week.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week_label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4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ISO week label, e.g. 2025-W08. Used as chart x-axis label.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payment_accuracy_rate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REAL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&gt;= 97%</w:t>
            </w:r>
          </w:p>
        </w:tc>
        <w:tc>
          <w:tcPr>
            <w:tcW w:type="dxa" w:w="4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% of invoices paid correctly first time, without correction. Range 90–100.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manual_processing_hours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REAL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&lt; 200 hrs</w:t>
            </w:r>
          </w:p>
        </w:tc>
        <w:tc>
          <w:tcPr>
            <w:tcW w:type="dxa" w:w="4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Formula-derived. Y = 40 + (0.50 x exception_count) + (0.25 x dispute_count) + (2.00 x stuck_count). See Section D.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invoice_volume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~8,500</w:t>
            </w:r>
          </w:p>
        </w:tc>
        <w:tc>
          <w:tcPr>
            <w:tcW w:type="dxa" w:w="4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 invoices processed in the week. Baseline ~8,500. Used as volume denominator for derived counts.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sla_breach_count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= 0</w:t>
            </w:r>
          </w:p>
        </w:tc>
        <w:tc>
          <w:tcPr>
            <w:tcW w:type="dxa" w:w="4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Count of invoices where 7-day contractual payment deadline was missed. Contractual target: zero.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first_pass_resolution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REAL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&gt;= 95%</w:t>
            </w:r>
          </w:p>
        </w:tc>
        <w:tc>
          <w:tcPr>
            <w:tcW w:type="dxa" w:w="4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% of invoices that cleared processing without any exception flag or manual intervention.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processing_cycle_days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REAL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&lt; 3 days</w:t>
            </w:r>
          </w:p>
        </w:tc>
        <w:tc>
          <w:tcPr>
            <w:tcW w:type="dxa" w:w="4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Average calendar days from invoice receipt to payment release.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dispute_rate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REAL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&lt; 3%</w:t>
            </w:r>
          </w:p>
        </w:tc>
        <w:tc>
          <w:tcPr>
            <w:tcW w:type="dxa" w:w="4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% of invoices formally disputed by logistics companies in the period.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invoice_exception_rate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REAL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&lt; 2%</w:t>
            </w:r>
          </w:p>
        </w:tc>
        <w:tc>
          <w:tcPr>
            <w:tcW w:type="dxa" w:w="4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% of invoices flagged for manual review due to data or matching errors.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stuck_invoice_count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&lt;= 20</w:t>
            </w:r>
          </w:p>
        </w:tc>
        <w:tc>
          <w:tcPr>
            <w:tcW w:type="dxa" w:w="4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Invoices stalled with no action taken for more than 48 hours.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dispute_resolution_rate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REAL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&gt;= 90%</w:t>
            </w:r>
          </w:p>
        </w:tc>
        <w:tc>
          <w:tcPr>
            <w:tcW w:type="dxa" w:w="4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% of open disputes resolved within the contractual 10 business-day window.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dispute_count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4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Derived. round(dispute_rate / 100 x invoice_volume). Absolute count of disputed invoices. Displayed as “Open Dispute Count” volume tracker card in the Process Excellence Delivery View. No SLA target.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invoice_exception_count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4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Derived. round(invoice_exception_rate / 100 x invoice_volume). Absolute count of exception invoices.</w:t>
            </w:r>
          </w:p>
        </w:tc>
      </w:tr>
    </w:tbl>
    <w:p>
      <w:pPr>
        <w:pBdr>
          <w:bottom w:val="single" w:color="E2E8F0" w:sz="4" w:space="1"/>
        </w:pBdr>
        <w:spacing w:after="100" w:before="100"/>
      </w:pP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C. Table: operational_notes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19"/>
          <w:szCs w:val="19"/>
        </w:rPr>
        <w:t xml:space="preserve">Companion table. One row per week. Left-joined to kpi_weekly in all data queries. Provides the free-text team log context that the AI agent uses as a secondary signal alongside KPI data.</w:t>
      </w:r>
    </w:p>
    <w:p>
      <w:pPr>
        <w:spacing w:after="8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5726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week_number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5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Foreign key to kpi_weekly.week_number. Primary key of this table.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notes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5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Free-text operational commentary for the week. Included in the AI agent user prompt as OPERATIONAL NOTES. COALESCE to empty string on join.</w:t>
            </w:r>
          </w:p>
        </w:tc>
      </w:tr>
    </w:tbl>
    <w:p>
      <w:pPr>
        <w:pBdr>
          <w:bottom w:val="single" w:color="E2E8F0" w:sz="4" w:space="1"/>
        </w:pBdr>
        <w:spacing w:after="100" w:before="100"/>
      </w:pP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D. Manual Processing Hours Formula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19"/>
          <w:szCs w:val="19"/>
        </w:rPr>
        <w:t xml:space="preserve">manual_processing_hours is not seeded as a raw value. It is computed algorithmically to reflect the labour cost implied by the week's exception, dispute, and stuck invoice volumes.</w:t>
      </w:r>
    </w:p>
    <w:p>
      <w:pPr>
        <w:spacing w:after="8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C5F8A" w:sz="8"/>
              <w:left w:val="single" w:color="2C5F8A" w:sz="8"/>
              <w:bottom w:val="single" w:color="E2E8F0" w:sz="1"/>
              <w:right w:val="single" w:color="E2E8F0" w:sz="1"/>
            </w:tcBorders>
            <w:shd w:fill="EAF2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Formula:  Y = beta_0 + (mu_1 x X_1) + (mu_2 x X_2) + (mu_3 x X_3)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  Y       =  manual_processing_hours (output)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  beta_0  =  40.0 hrs  (base administrative overhead per week)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  mu_1    =  0.50      (hrs per exception invoice — data correction, matching)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  X_1     =  invoice_exception_count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  mu_2    =  0.25      (hrs per disputed invoice — investigation, correspondence)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  X_2     =  dispute_count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  mu_3    =  2.00      (hrs per stuck invoice — escalation, manual release)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  X_3     =  stuck_invoice_count</w:t>
            </w:r>
          </w:p>
        </w:tc>
      </w:tr>
    </w:tbl>
    <w:p>
      <w:pPr>
        <w:spacing w:after="60" w:before="100"/>
      </w:pP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19"/>
          <w:szCs w:val="19"/>
        </w:rPr>
        <w:t xml:space="preserve">Example: 2025-W08 (worst week). invoice_exception_count=347, dispute_count=416, stuck_invoice_count=42.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19"/>
          <w:szCs w:val="19"/>
        </w:rPr>
        <w:t xml:space="preserve">Y = 40 + (0.50 x 347) + (0.25 x 416) + (2.00 x 42) = 40 + 173.5 + 104 + 84 = 401.5 hrs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19"/>
          <w:szCs w:val="19"/>
        </w:rPr>
        <w:t xml:space="preserve">This represents 201% of the 200-hour SLA target, making the ERP migration failure in W08 visible as a workforce capacity crisis, not just a process metric.</w:t>
      </w:r>
    </w:p>
    <w:p>
      <w:pPr>
        <w:spacing w:after="60" w:before="80"/>
      </w:pP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/>
          <w:iCs/>
          <w:color w:val="94A3B8"/>
          <w:sz w:val="19"/>
          <w:szCs w:val="19"/>
        </w:rPr>
        <w:t xml:space="preserve">ArbZG note: Under the German Federal Working Time Act (Arbeitszeitgesetz), the maximum working week for an individual is 48 hours. 401.5 hours represents the implied capacity requirement for the operations team as a whole, not any single worker.</w:t>
      </w:r>
    </w:p>
    <w:p>
      <w:pPr>
        <w:pBdr>
          <w:bottom w:val="single" w:color="E2E8F0" w:sz="4" w:space="1"/>
        </w:pBdr>
        <w:spacing w:after="100" w:before="100"/>
      </w:pP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E. Anomaly Detection Configuration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19"/>
          <w:szCs w:val="19"/>
        </w:rPr>
        <w:t xml:space="preserve">detect_anomalies.py queries kpi_weekly and applies three rule sets. Full logic is documented in TRD Section 6. This section provides the threshold reference table.</w:t>
      </w:r>
    </w:p>
    <w:p>
      <w:pPr>
        <w:spacing w:after="8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1100"/>
        <w:gridCol w:w="3126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SLA target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Warning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3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WoW flag threshold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payment_accuracy_rate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&gt;= 97%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&lt; 97%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&lt; 95%</w:t>
            </w:r>
          </w:p>
        </w:tc>
        <w:tc>
          <w:tcPr>
            <w:tcW w:type="dxa" w:w="3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Drop &gt;= 2pp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first_pass_resolution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&gt;= 95%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&lt; 95%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&lt; 92%</w:t>
            </w:r>
          </w:p>
        </w:tc>
        <w:tc>
          <w:tcPr>
            <w:tcW w:type="dxa" w:w="3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Drop &gt;= 2pp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dispute_rate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&lt; 3%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&gt; 3%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&gt; 4%</w:t>
            </w:r>
          </w:p>
        </w:tc>
        <w:tc>
          <w:tcPr>
            <w:tcW w:type="dxa" w:w="3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Rise &gt;= 1pp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invoice_exception_rate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&lt; 2%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&gt; 2%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&gt; 3%</w:t>
            </w:r>
          </w:p>
        </w:tc>
        <w:tc>
          <w:tcPr>
            <w:tcW w:type="dxa" w:w="3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Rise &gt;= 0.5pp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processing_cycle_days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&lt; 3 days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&gt; 3 days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&gt; 3.8 days</w:t>
            </w:r>
          </w:p>
        </w:tc>
        <w:tc>
          <w:tcPr>
            <w:tcW w:type="dxa" w:w="3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Rise &gt;= 0.5 days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stuck_invoice_count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&lt;= 20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&gt; 20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&gt; 30</w:t>
            </w:r>
          </w:p>
        </w:tc>
        <w:tc>
          <w:tcPr>
            <w:tcW w:type="dxa" w:w="3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Rise &gt;= 10 units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sla_breach_count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= 0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1–3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&gt; 3</w:t>
            </w:r>
          </w:p>
        </w:tc>
        <w:tc>
          <w:tcPr>
            <w:tcW w:type="dxa" w:w="3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Not tracked (WoW delta on count metric too noisy)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dispute_resolution_rate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&gt;= 90%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&lt; 90%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&lt; 82%</w:t>
            </w:r>
          </w:p>
        </w:tc>
        <w:tc>
          <w:tcPr>
            <w:tcW w:type="dxa" w:w="3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Drop &gt;= 3pp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manual_processing_hours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&lt; 200 hrs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&gt; 200 hrs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&gt; 230 hrs</w:t>
            </w:r>
          </w:p>
        </w:tc>
        <w:tc>
          <w:tcPr>
            <w:tcW w:type="dxa" w:w="31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Rise &gt;= 20 hrs</w:t>
            </w:r>
          </w:p>
        </w:tc>
      </w:tr>
    </w:tbl>
    <w:p>
      <w:pPr>
        <w:pBdr>
          <w:bottom w:val="single" w:color="E2E8F0" w:sz="4" w:space="1"/>
        </w:pBdr>
        <w:spacing w:after="100" w:before="100"/>
      </w:pP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F. v2.0 Enterprise Architecture Forward Reference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19"/>
          <w:szCs w:val="19"/>
        </w:rPr>
        <w:t xml:space="preserve">The v1.0 SQLite schema is a single-table flat design appropriate for a simulated dataset. In the v2.0 enterprise architecture (documented in PRD v2.0 Appendix A.1), the schema would migrate to a star schema on a cloud data warehouse (Snowflake, BigQuery, or Redshift).</w:t>
      </w:r>
    </w:p>
    <w:p>
      <w:pPr>
        <w:spacing w:after="8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7F5A" w:sz="8"/>
              <w:left w:val="single" w:color="1A7F5A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4532D"/>
                <w:sz w:val="18"/>
                <w:szCs w:val="18"/>
              </w:rPr>
              <w:t xml:space="preserve">v2.0 target schema — star design (reference only, not implemented in v1.0)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4532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4532D"/>
                <w:sz w:val="18"/>
                <w:szCs w:val="18"/>
              </w:rPr>
              <w:t xml:space="preserve">  fact_kpi_weekly      Primary fact table. Grain: one row per week per region.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4532D"/>
                <w:sz w:val="18"/>
                <w:szCs w:val="18"/>
              </w:rPr>
              <w:t xml:space="preserve">                       Keys: week_id (FK to dim_week), region_id (FK to dim_region).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4532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4532D"/>
                <w:sz w:val="18"/>
                <w:szCs w:val="18"/>
              </w:rPr>
              <w:t xml:space="preserve">  dim_week             Week dimension. week_id, week_label, fiscal_quarter, fiscal_year.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4532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4532D"/>
                <w:sz w:val="18"/>
                <w:szCs w:val="18"/>
              </w:rPr>
              <w:t xml:space="preserve">  dim_region           Region dimension. region_id, region_name, country_code, currency.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4532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4532D"/>
                <w:sz w:val="18"/>
                <w:szCs w:val="18"/>
              </w:rPr>
              <w:t xml:space="preserve">  dim_dispute_category Dispute category dimension (deferred to v2.0).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4532D"/>
                <w:sz w:val="18"/>
                <w:szCs w:val="18"/>
              </w:rPr>
              <w:t xml:space="preserve">                       Enables % Disputes by Category breakdown.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4532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4532D"/>
                <w:sz w:val="18"/>
                <w:szCs w:val="18"/>
              </w:rPr>
              <w:t xml:space="preserve">  fact_operational_notes  Notes fact. Grain: one row per week per region.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4532D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4532D"/>
                <w:sz w:val="18"/>
                <w:szCs w:val="18"/>
              </w:rPr>
              <w:t xml:space="preserve">  Tooling: dbt for transformation layer, Apache Airflow for orchestration.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4532D"/>
                <w:sz w:val="18"/>
                <w:szCs w:val="18"/>
              </w:rPr>
              <w:t xml:space="preserve">  See PRD v2.0 Appendix A.1 for full architecture diagram.</w:t>
            </w:r>
          </w:p>
        </w:tc>
      </w:tr>
    </w:tbl>
    <w:p>
      <w:pPr>
        <w:spacing w:after="50" w:before="100"/>
      </w:pP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/>
          <w:iCs/>
          <w:color w:val="94A3B8"/>
          <w:sz w:val="19"/>
          <w:szCs w:val="19"/>
        </w:rPr>
        <w:t xml:space="preserve">The key schema change enabling multi-region analytics is the addition of region_id as a composite key alongside week_id. This allows the dashboard to filter by country or region without any changes to the KPI calculation logic.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of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</w:pPr>
    <w:r>
      <w:rPr>
        <w:rFonts w:ascii="Arial" w:cs="Arial" w:eastAsia="Arial" w:hAnsi="Arial"/>
        <w:color w:val="94A3B8"/>
        <w:sz w:val="16"/>
        <w:szCs w:val="16"/>
      </w:rPr>
      <w:t xml:space="preserve">Project Aegis  |  Backend Schema Reference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75569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2C5F8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2026-05-23T08:42:12.454Z</dcterms:created>
  <dcterms:modified xsi:type="dcterms:W3CDTF">2026-05-23T08:42:12.454Z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