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</w:pPr>
      <w:r>
        <w:rPr>
          <w:rFonts w:ascii="Arial" w:cs="Arial" w:eastAsia="Arial" w:hAnsi="Arial"/>
          <w:b/>
          <w:bCs/>
          <w:color w:val="1E3A5F"/>
          <w:spacing w:val="80"/>
          <w:sz w:val="44"/>
          <w:szCs w:val="44"/>
        </w:rPr>
        <w:t xml:space="preserve">PROJECT AEGIS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Implementation Plan</w:t>
      </w:r>
    </w:p>
    <w:p>
      <w:pPr>
        <w:spacing w:after="4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Prescriptive KPI &amp; Performance Dashboard</w:t>
      </w:r>
    </w:p>
    <w:p>
      <w:pPr>
        <w:spacing w:after="500" w:before="0"/>
      </w:pPr>
      <w:r>
        <w:rPr>
          <w:rFonts w:ascii="Arial" w:cs="Arial" w:eastAsia="Arial" w:hAnsi="Arial"/>
          <w:color w:val="94A3B8"/>
          <w:sz w:val="19"/>
          <w:szCs w:val="19"/>
        </w:rPr>
        <w:t xml:space="preserve">v1.0  |  May 2026  |  Smita Harding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rPr>
          <w:tblHeader/>
        </w:trPr>
        <w:tc>
          <w:tcPr>
            <w:tcW w:type="dxa" w:w="22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25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2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5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</w:tr>
      <w:tr>
        <w:tc>
          <w:tcPr>
            <w:tcW w:type="dxa" w:w="22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Implementation Plan</w:t>
            </w:r>
          </w:p>
        </w:tc>
        <w:tc>
          <w:tcPr>
            <w:tcW w:type="dxa" w:w="225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v1.0</w:t>
            </w:r>
          </w:p>
        </w:tc>
        <w:tc>
          <w:tcPr>
            <w:tcW w:type="dxa" w:w="22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Final</w:t>
            </w:r>
          </w:p>
        </w:tc>
        <w:tc>
          <w:tcPr>
            <w:tcW w:type="dxa" w:w="225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Smita Harding</w:t>
            </w:r>
          </w:p>
        </w:tc>
      </w:tr>
    </w:tbl>
    <w:p>
      <w:pPr>
        <w:pageBreakBefore/>
      </w:pP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 Overview</w:t>
      </w:r>
    </w:p>
    <w:p>
      <w:p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19"/>
          <w:szCs w:val="19"/>
        </w:rPr>
        <w:t xml:space="preserve">Project Aegis is delivered in two phases. Phase 1 (v1.0) is a fully functional portfolio build using simulated data and a local SQLite database. Phase 2 (v2.0) describes the enterprise evolution path: live data connectivity, multi-region support, and automated AI briefings. The two phases share the same application architecture — only the data and deployment layers change.</w:t>
      </w:r>
    </w:p>
    <w:p>
      <w:pPr>
        <w:pBdr>
          <w:bottom w:val="single" w:color="E2E8F0" w:sz="4" w:space="1"/>
        </w:pBdr>
        <w:spacing w:after="100" w:before="100"/>
      </w:pP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 Phase 1 — v1.0: Portfolio Build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2.1  Delivery milestones</w:t>
      </w:r>
    </w:p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000"/>
        <w:gridCol w:w="3826"/>
      </w:tblGrid>
      <w:tr>
        <w:trPr>
          <w:tblHeader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KPI design &amp; simulated database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F5A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build_database.py — 16 weeks, 14 columns, workforce formula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Anomaly detection engine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F5A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detect_anomalies.py — SLA, severity, WoW rules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Claude AI agent — dual persona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F5A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ai_agent.py — Executive Copilot + Operations Copilot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Streamlit dashboard — v3 light theme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F5A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app.py — KPI cards, pill charts, AI governance panel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Documentation suite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F5A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PRD v2.0, TRD v1.0, Page Flow v1.0, UX/UI Brief, Schema doc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Deploy to Streamlit Community Cloud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Push to GitHub, add API key secret, verify cold start</w:t>
            </w:r>
          </w:p>
        </w:tc>
      </w:tr>
    </w:tbl>
    <w:p>
      <w:pPr>
        <w:spacing w:after="60" w:before="12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2.2  Deployment steps (Task 16)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Push all files to a public GitHub repository. Add kpi_dashboard.db to .gitignore.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Connect the repo at share.streamlit.io. Set main file: app.py.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Add ANTHROPIC_API_KEY in Streamlit Secrets Manager (Settings &gt; Secrets).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Deploy. The DB auto-init guard in app.py creates kpi_dashboard.db on first cold start.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Verify: select a flagged week, enter the API key, press Generate Executive Governance Briefing.</w:t>
      </w:r>
    </w:p>
    <w:p>
      <w:pPr>
        <w:spacing w:after="6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C5F8A" w:sz="8"/>
              <w:left w:val="single" w:color="2C5F8A" w:sz="8"/>
              <w:bottom w:val="single" w:color="E2E8F0" w:sz="1"/>
              <w:right w:val="single" w:color="E2E8F0" w:sz="1"/>
            </w:tcBorders>
            <w:shd w:fill="EAF2F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Technical constraint: kpi_dashboard.db cannot be committed to the repository — SQLite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files are binary and defeat version control. The DB auto-init guard in app.py (lines 40–41)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calls build_database.build() on cold start. This means the first page load after deployment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takes ~5 seconds while the database generates. All subsequent loads use the cached file.</w:t>
            </w:r>
          </w:p>
        </w:tc>
      </w:tr>
    </w:tbl>
    <w:p>
      <w:pPr>
        <w:pBdr>
          <w:bottom w:val="single" w:color="E2E8F0" w:sz="4" w:space="1"/>
        </w:pBdr>
        <w:spacing w:after="100" w:before="100"/>
      </w:pP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 Phase 2 — v2.0: Enterprise Evolution</w:t>
      </w:r>
    </w:p>
    <w:p>
      <w:p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19"/>
          <w:szCs w:val="19"/>
        </w:rPr>
        <w:t xml:space="preserve">Four capability upgrades define v2.0. Each is independent — they can be delivered in any order. The application architecture (anomaly detection engine, AI agent, Streamlit UI) requires no structural changes for any of these upgrades.</w:t>
      </w:r>
    </w:p>
    <w:p>
      <w:pPr>
        <w:spacing w:after="80" w:before="12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3.1  Live data connectivity</w:t>
      </w:r>
    </w:p>
    <w:p>
      <w:p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19"/>
          <w:szCs w:val="19"/>
        </w:rPr>
        <w:t xml:space="preserve">Replace build_database.py and the SQLite layer with a read-only connector to a cloud data warehouse (Snowflake, BigQuery, or Redshift). The anomaly detection engine queries the DB via a single SQL SELECT — replacing the connection string is the only change required in detect_anomalies.py. Data transformation (KPI derivation, formula calculation) moves to a dbt model layer, with Airflow scheduling weekly refreshes.</w:t>
      </w:r>
    </w:p>
    <w:p>
      <w:pPr>
        <w:spacing w:after="60" w:before="50"/>
      </w:pPr>
      <w:r>
        <w:rPr>
          <w:rFonts w:ascii="Arial" w:cs="Arial" w:eastAsia="Arial" w:hAnsi="Arial"/>
          <w:b w:val="false"/>
          <w:bCs w:val="false"/>
          <w:i/>
          <w:iCs/>
          <w:color w:val="94A3B8"/>
          <w:sz w:val="19"/>
          <w:szCs w:val="19"/>
        </w:rPr>
        <w:t xml:space="preserve">Dependency: access to the production ERP or data warehouse. GDPR compliance review required before connecting to any live invoice data.</w:t>
      </w:r>
    </w:p>
    <w:p>
      <w:pPr>
        <w:spacing w:after="6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3.2  Multi-region support</w:t>
      </w:r>
    </w:p>
    <w:p>
      <w:p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19"/>
          <w:szCs w:val="19"/>
        </w:rPr>
        <w:t xml:space="preserve">Add region_id as a second dimension key alongside week_id. The star schema design (PRD v2.0 Appendix A.1) supports this. In the UI, add a region selector to the sidebar. The KPI calculation and AI agent logic require no changes — the SQL query simply filters by region_id.</w:t>
      </w:r>
    </w:p>
    <w:p>
      <w:pPr>
        <w:spacing w:after="60" w:before="50"/>
      </w:pPr>
      <w:r>
        <w:rPr>
          <w:rFonts w:ascii="Arial" w:cs="Arial" w:eastAsia="Arial" w:hAnsi="Arial"/>
          <w:b w:val="false"/>
          <w:bCs w:val="false"/>
          <w:i/>
          <w:iCs/>
          <w:color w:val="94A3B8"/>
          <w:sz w:val="19"/>
          <w:szCs w:val="19"/>
        </w:rPr>
        <w:t xml:space="preserve">Enables: per-country SLA monitoring across UK, IE, DE, NL, BE, IT, FR, ES.</w:t>
      </w:r>
    </w:p>
    <w:p>
      <w:pPr>
        <w:spacing w:after="6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3.3  Dispute category breakdown</w:t>
      </w:r>
    </w:p>
    <w:p>
      <w:p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19"/>
          <w:szCs w:val="19"/>
        </w:rPr>
        <w:t xml:space="preserve">Add a dim_dispute_category dimension table and a category foreign key to the fact table. Surface as a stacked bar chart in Tab 1 — the '% Disputes by Category' view explicitly deferred from v1.0. Provides operations teams with root cause breakdown within the dispute metric.</w:t>
      </w:r>
    </w:p>
    <w:p>
      <w:pPr>
        <w:spacing w:after="60" w:before="50"/>
      </w:pPr>
      <w:r>
        <w:rPr>
          <w:rFonts w:ascii="Arial" w:cs="Arial" w:eastAsia="Arial" w:hAnsi="Arial"/>
          <w:b w:val="false"/>
          <w:bCs w:val="false"/>
          <w:i/>
          <w:iCs/>
          <w:color w:val="94A3B8"/>
          <w:sz w:val="19"/>
          <w:szCs w:val="19"/>
        </w:rPr>
        <w:t xml:space="preserve">Dependency: category classification data available in the source ERP.</w:t>
      </w:r>
    </w:p>
    <w:p>
      <w:pPr>
        <w:spacing w:after="6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3.4  Scheduled AI briefings</w:t>
      </w:r>
    </w:p>
    <w:p>
      <w:p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19"/>
          <w:szCs w:val="19"/>
        </w:rPr>
        <w:t xml:space="preserve">Run the AI agent on a weekly cron schedule (Monday 07:00 local time) against the freshest anomaly data. Push the structured output to email or a Slack channel so the Monday morning governance briefing lands in inboxes without anyone opening the dashboard. The ai_agent.run_all() function is already built and accepts a list of anomalies — scheduling is a wrapper task only.</w:t>
      </w:r>
    </w:p>
    <w:p>
      <w:pPr>
        <w:pBdr>
          <w:bottom w:val="single" w:color="E2E8F0" w:sz="4" w:space="1"/>
        </w:pBdr>
        <w:spacing w:after="100" w:before="100"/>
      </w:pP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 Key Risks</w:t>
      </w:r>
    </w:p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26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Streamlit Cloud cold start failure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v1.0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DB auto-init guard already in app.py. Test locally before pushing to GitHub.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Claude API key exposure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v1.0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API key abstracted via Streamlit Secrets Manager. Never hardcoded. Never committed to source control.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Ghost Anomaly (AI hallucinates breach)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v1.0 + v2.0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AI agent receives only the anomaly dict produced by detect_anomalies.py. No raw data passed. Anomaly detection is rule-based and deterministic.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GDPR compliance gate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v2.0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 personal data sent to the Claude API. KPI data is aggregated operational metrics, not individual records. Legal review required before connecting live EU data.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Semantic drift (AI output quality degrades)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v2.0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Monitor AI output quality quarterly. Re-evaluate system prompts if interventions become generic. Prompt versioning recommended.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Live data schema mismatch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v2.0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Isolate data layer in a dbt model. Dashboard always reads from a standardised view. ERP schema changes are absorbed in dbt, not in app code.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of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</w:pPr>
    <w:r>
      <w:rPr>
        <w:rFonts w:ascii="Arial" w:cs="Arial" w:eastAsia="Arial" w:hAnsi="Arial"/>
        <w:color w:val="94A3B8"/>
        <w:sz w:val="16"/>
        <w:szCs w:val="16"/>
      </w:rPr>
      <w:t xml:space="preserve">Project Aegis  |  Implementation Plan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C5F8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2026-05-23T14:42:25.027Z</dcterms:created>
  <dcterms:modified xsi:type="dcterms:W3CDTF">2026-05-23T14:42:25.038Z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